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9"/>
        <w:gridCol w:w="7075"/>
        <w:gridCol w:w="141"/>
      </w:tblGrid>
      <w:tr w:rsidR="00303502" w:rsidRPr="00303502" w:rsidTr="00EC7850">
        <w:trPr>
          <w:gridAfter w:val="1"/>
          <w:wAfter w:w="141" w:type="dxa"/>
          <w:cantSplit/>
          <w:trHeight w:val="390"/>
          <w:tblHeader/>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b/>
                <w:bCs/>
                <w:color w:val="000000"/>
                <w:sz w:val="32"/>
                <w:szCs w:val="32"/>
                <w:lang w:eastAsia="en-GB"/>
              </w:rPr>
            </w:pPr>
            <w:bookmarkStart w:id="0" w:name="_GoBack" w:colFirst="0" w:colLast="0"/>
            <w:r w:rsidRPr="00303502">
              <w:rPr>
                <w:rFonts w:ascii="Trebuchet MS" w:eastAsia="Times New Roman" w:hAnsi="Trebuchet MS" w:cs="Times New Roman"/>
                <w:b/>
                <w:bCs/>
                <w:color w:val="000000"/>
                <w:sz w:val="32"/>
                <w:szCs w:val="32"/>
                <w:lang w:eastAsia="en-GB"/>
              </w:rPr>
              <w:t xml:space="preserve">Word/Term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b/>
                <w:bCs/>
                <w:color w:val="000000"/>
                <w:sz w:val="32"/>
                <w:szCs w:val="32"/>
                <w:lang w:eastAsia="en-GB"/>
              </w:rPr>
            </w:pPr>
            <w:r w:rsidRPr="00303502">
              <w:rPr>
                <w:rFonts w:ascii="Trebuchet MS" w:eastAsia="Times New Roman" w:hAnsi="Trebuchet MS" w:cs="Times New Roman"/>
                <w:b/>
                <w:bCs/>
                <w:color w:val="000000"/>
                <w:sz w:val="32"/>
                <w:szCs w:val="32"/>
                <w:lang w:eastAsia="en-GB"/>
              </w:rPr>
              <w:t xml:space="preserve">Definition </w:t>
            </w:r>
          </w:p>
        </w:tc>
      </w:tr>
      <w:tr w:rsidR="00303502" w:rsidRPr="00303502" w:rsidTr="00EC7850">
        <w:trPr>
          <w:gridAfter w:val="1"/>
          <w:wAfter w:w="141" w:type="dxa"/>
          <w:trHeight w:val="436"/>
        </w:trPr>
        <w:tc>
          <w:tcPr>
            <w:tcW w:w="9924" w:type="dxa"/>
            <w:gridSpan w:val="2"/>
            <w:shd w:val="clear" w:color="auto" w:fill="auto"/>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b/>
                <w:color w:val="000000"/>
                <w:sz w:val="32"/>
                <w:szCs w:val="32"/>
                <w:lang w:eastAsia="en-GB"/>
              </w:rPr>
              <w:t>Dynamics</w:t>
            </w:r>
          </w:p>
        </w:tc>
      </w:tr>
      <w:tr w:rsidR="00303502" w:rsidRPr="00303502" w:rsidTr="00EC7850">
        <w:trPr>
          <w:gridAfter w:val="1"/>
          <w:wAfter w:w="141" w:type="dxa"/>
          <w:trHeight w:val="103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Acceleration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change in velocity per unit time. It is a vector quantity and is given by the gradient of the line on a velocity-time graph. </w:t>
            </w:r>
          </w:p>
        </w:tc>
      </w:tr>
      <w:tr w:rsidR="00303502" w:rsidRPr="00303502" w:rsidTr="00EC7850">
        <w:trPr>
          <w:gridAfter w:val="1"/>
          <w:wAfter w:w="141" w:type="dxa"/>
          <w:trHeight w:val="138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Average Speed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The total distance travelled by an object measured over the total time taken. The rate of covering a distance. It is measured in metres per second.</w:t>
            </w:r>
          </w:p>
        </w:tc>
      </w:tr>
      <w:tr w:rsidR="00303502" w:rsidRPr="00303502" w:rsidTr="00EC7850">
        <w:trPr>
          <w:gridAfter w:val="1"/>
          <w:wAfter w:w="141" w:type="dxa"/>
          <w:trHeight w:val="114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Bearing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 three-digit number without a degree symbol that can be used to describe direction. It is measured from North (000) in a clockwise direction. </w:t>
            </w:r>
          </w:p>
        </w:tc>
      </w:tr>
      <w:tr w:rsidR="00303502" w:rsidRPr="00303502" w:rsidTr="00EC7850">
        <w:trPr>
          <w:gridAfter w:val="1"/>
          <w:wAfter w:w="141" w:type="dxa"/>
          <w:trHeight w:val="138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Deceleration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A negative acceleration which indicates that an object is slowing down. The SQA have said they will use the term negative acceleration instead of using deceleration.</w:t>
            </w:r>
          </w:p>
        </w:tc>
      </w:tr>
      <w:tr w:rsidR="00303502" w:rsidRPr="00303502" w:rsidTr="00EC7850">
        <w:trPr>
          <w:gridAfter w:val="1"/>
          <w:wAfter w:w="141" w:type="dxa"/>
          <w:trHeight w:val="181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Displacement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shortest distance between the starting point and finishing point of a journey, which takes into account the direction of travel of the object. The two points are connected with a straight line. </w:t>
            </w:r>
            <w:proofErr w:type="gramStart"/>
            <w:r w:rsidRPr="00303502">
              <w:rPr>
                <w:rFonts w:ascii="Trebuchet MS" w:eastAsia="Times New Roman" w:hAnsi="Trebuchet MS" w:cs="Times New Roman"/>
                <w:color w:val="000000"/>
                <w:sz w:val="24"/>
                <w:szCs w:val="24"/>
                <w:lang w:eastAsia="en-GB"/>
              </w:rPr>
              <w:t>It  is</w:t>
            </w:r>
            <w:proofErr w:type="gramEnd"/>
            <w:r w:rsidRPr="00303502">
              <w:rPr>
                <w:rFonts w:ascii="Trebuchet MS" w:eastAsia="Times New Roman" w:hAnsi="Trebuchet MS" w:cs="Times New Roman"/>
                <w:color w:val="000000"/>
                <w:sz w:val="24"/>
                <w:szCs w:val="24"/>
                <w:lang w:eastAsia="en-GB"/>
              </w:rPr>
              <w:t xml:space="preserve"> a vector quantity and is given by the area under a velocity-time graph. </w:t>
            </w:r>
          </w:p>
        </w:tc>
      </w:tr>
      <w:tr w:rsidR="00303502" w:rsidRPr="00303502" w:rsidTr="00EC7850">
        <w:trPr>
          <w:gridAfter w:val="1"/>
          <w:wAfter w:w="141" w:type="dxa"/>
          <w:trHeight w:val="103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Distance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How far an object has travelled from the starting point to the finishing point of a journey, regardless of its direction. It is a scalar quantity. </w:t>
            </w:r>
          </w:p>
        </w:tc>
      </w:tr>
      <w:tr w:rsidR="00303502" w:rsidRPr="00303502" w:rsidTr="00EC7850">
        <w:trPr>
          <w:gridAfter w:val="1"/>
          <w:wAfter w:w="141" w:type="dxa"/>
          <w:trHeight w:val="103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Instantaneous Speed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The speed of an object at a particular moment in time.  It is measured in metres per second. The time for the instantaneous speed must be very small</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Mass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quantity of particles that make up an object. It is a scalar quantity and is measured in kilograms (kg). </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Resultant Vector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final vector drawn from the starting point to the finishing point after adding two vectors. </w:t>
            </w:r>
          </w:p>
        </w:tc>
      </w:tr>
      <w:tr w:rsidR="00303502" w:rsidRPr="00303502" w:rsidTr="00EC7850">
        <w:trPr>
          <w:gridAfter w:val="1"/>
          <w:wAfter w:w="141" w:type="dxa"/>
          <w:trHeight w:val="37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Scalar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 quantity that consists of a magnitude (size) only. </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Speed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distance travelled per unit time. The rate of covering a distance. It is a scalar quantity. </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Vector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 quantity that consists of a magnitude (size) and direction. </w:t>
            </w:r>
          </w:p>
        </w:tc>
      </w:tr>
      <w:tr w:rsidR="00303502" w:rsidRPr="00303502" w:rsidTr="00EC7850">
        <w:trPr>
          <w:gridAfter w:val="1"/>
          <w:wAfter w:w="141" w:type="dxa"/>
          <w:trHeight w:val="49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Velocity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displacement per unit time. It is a vector quantity. </w:t>
            </w:r>
          </w:p>
        </w:tc>
      </w:tr>
      <w:tr w:rsidR="00303502" w:rsidRPr="00303502" w:rsidTr="00EC7850">
        <w:trPr>
          <w:gridAfter w:val="1"/>
          <w:wAfter w:w="141" w:type="dxa"/>
          <w:trHeight w:val="79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Weight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force due to gravity acting on an object. It is a vector quantity and is measured in </w:t>
            </w:r>
            <w:proofErr w:type="spellStart"/>
            <w:r w:rsidRPr="00303502">
              <w:rPr>
                <w:rFonts w:ascii="Trebuchet MS" w:eastAsia="Times New Roman" w:hAnsi="Trebuchet MS" w:cs="Times New Roman"/>
                <w:color w:val="000000"/>
                <w:sz w:val="24"/>
                <w:szCs w:val="24"/>
                <w:lang w:eastAsia="en-GB"/>
              </w:rPr>
              <w:t>newtons</w:t>
            </w:r>
            <w:proofErr w:type="spellEnd"/>
            <w:r w:rsidRPr="00303502">
              <w:rPr>
                <w:rFonts w:ascii="Trebuchet MS" w:eastAsia="Times New Roman" w:hAnsi="Trebuchet MS" w:cs="Times New Roman"/>
                <w:color w:val="000000"/>
                <w:sz w:val="24"/>
                <w:szCs w:val="24"/>
                <w:lang w:eastAsia="en-GB"/>
              </w:rPr>
              <w:t xml:space="preserve"> (N). </w:t>
            </w:r>
          </w:p>
        </w:tc>
      </w:tr>
      <w:tr w:rsidR="00303502" w:rsidRPr="00303502" w:rsidTr="00EC7850">
        <w:trPr>
          <w:gridAfter w:val="1"/>
          <w:wAfter w:w="141" w:type="dxa"/>
          <w:trHeight w:val="489"/>
        </w:trPr>
        <w:tc>
          <w:tcPr>
            <w:tcW w:w="9924" w:type="dxa"/>
            <w:gridSpan w:val="2"/>
            <w:shd w:val="clear" w:color="auto" w:fill="auto"/>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b/>
                <w:color w:val="000000"/>
                <w:sz w:val="32"/>
                <w:szCs w:val="32"/>
                <w:lang w:eastAsia="en-GB"/>
              </w:rPr>
              <w:lastRenderedPageBreak/>
              <w:t>Space</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Asteroid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Objects orbiting the sun that do not fulfil planetary criteria. </w:t>
            </w:r>
          </w:p>
        </w:tc>
      </w:tr>
      <w:tr w:rsidR="00303502" w:rsidRPr="00303502" w:rsidTr="00EC7850">
        <w:trPr>
          <w:gridAfter w:val="1"/>
          <w:wAfter w:w="141" w:type="dxa"/>
          <w:trHeight w:val="37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Celestial Body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 natural object in the sky. </w:t>
            </w:r>
          </w:p>
        </w:tc>
      </w:tr>
      <w:tr w:rsidR="00303502" w:rsidRPr="00303502" w:rsidTr="00EC7850">
        <w:trPr>
          <w:gridAfter w:val="1"/>
          <w:wAfter w:w="141" w:type="dxa"/>
          <w:trHeight w:val="103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Docking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joining together of spacecraft modules in orbit. It requires a very precise </w:t>
            </w:r>
            <w:proofErr w:type="spellStart"/>
            <w:r w:rsidRPr="00303502">
              <w:rPr>
                <w:rFonts w:ascii="Trebuchet MS" w:eastAsia="Times New Roman" w:hAnsi="Trebuchet MS" w:cs="Times New Roman"/>
                <w:color w:val="000000"/>
                <w:sz w:val="24"/>
                <w:szCs w:val="24"/>
                <w:lang w:eastAsia="en-GB"/>
              </w:rPr>
              <w:t>Hohmann</w:t>
            </w:r>
            <w:proofErr w:type="spellEnd"/>
            <w:r w:rsidRPr="00303502">
              <w:rPr>
                <w:rFonts w:ascii="Trebuchet MS" w:eastAsia="Times New Roman" w:hAnsi="Trebuchet MS" w:cs="Times New Roman"/>
                <w:color w:val="000000"/>
                <w:sz w:val="24"/>
                <w:szCs w:val="24"/>
                <w:lang w:eastAsia="en-GB"/>
              </w:rPr>
              <w:t xml:space="preserve"> transfer from one orbit to the target orbit.</w:t>
            </w:r>
          </w:p>
        </w:tc>
      </w:tr>
      <w:tr w:rsidR="00303502" w:rsidRPr="00303502" w:rsidTr="00EC7850">
        <w:trPr>
          <w:gridAfter w:val="1"/>
          <w:wAfter w:w="141" w:type="dxa"/>
          <w:trHeight w:val="103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Dwarf Planet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An object that orbits a star and is similar to a planet but is not large enough to clear its orbital path of debris. </w:t>
            </w:r>
          </w:p>
        </w:tc>
      </w:tr>
      <w:tr w:rsidR="00303502" w:rsidRPr="00303502" w:rsidTr="00EC7850">
        <w:trPr>
          <w:gridAfter w:val="1"/>
          <w:wAfter w:w="141" w:type="dxa"/>
          <w:trHeight w:val="54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Exoplanet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 planet outside of our solar system that orbits a star. </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Galaxy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 cluster of gravitationally bound stars, gas and dust clouds. </w:t>
            </w:r>
          </w:p>
        </w:tc>
      </w:tr>
      <w:tr w:rsidR="00303502" w:rsidRPr="00303502" w:rsidTr="00EC7850">
        <w:trPr>
          <w:gridAfter w:val="1"/>
          <w:wAfter w:w="141" w:type="dxa"/>
          <w:trHeight w:val="103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Geostationary Satellite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 satellite that has a period of 24 hours and orbits the Earth’s equator at an altitude of 36 000 km. It remains above the same point on the Earth’s surface. </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Gravity Assist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Using the gravitational pull of a celestial body to gain or lose orbital velocity. </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Gravitational field strength</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Weight per unit mass. Weight per kilogram. (Nkg</w:t>
            </w:r>
            <w:r w:rsidRPr="00303502">
              <w:rPr>
                <w:rFonts w:ascii="Trebuchet MS" w:eastAsia="Times New Roman" w:hAnsi="Trebuchet MS" w:cs="Times New Roman"/>
                <w:color w:val="000000"/>
                <w:sz w:val="24"/>
                <w:szCs w:val="24"/>
                <w:vertAlign w:val="superscript"/>
                <w:lang w:eastAsia="en-GB"/>
              </w:rPr>
              <w:t>-1</w:t>
            </w:r>
            <w:r w:rsidRPr="00303502">
              <w:rPr>
                <w:rFonts w:ascii="Trebuchet MS" w:eastAsia="Times New Roman" w:hAnsi="Trebuchet MS" w:cs="Times New Roman"/>
                <w:color w:val="000000"/>
                <w:sz w:val="24"/>
                <w:szCs w:val="24"/>
                <w:lang w:eastAsia="en-GB"/>
              </w:rPr>
              <w:t>)</w:t>
            </w:r>
          </w:p>
        </w:tc>
      </w:tr>
      <w:tr w:rsidR="00303502" w:rsidRPr="00303502" w:rsidTr="00EC7850">
        <w:trPr>
          <w:gridAfter w:val="1"/>
          <w:wAfter w:w="141" w:type="dxa"/>
          <w:trHeight w:val="172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Gravity Turn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 spacecraft takes a slight turn when it reaches a certain altitude after a vertical launch. This minimises the effect of the gravitational pull of the body on the spacecraft, allowing it to reach a certain horizontal speed for its desired orbit. </w:t>
            </w:r>
          </w:p>
        </w:tc>
      </w:tr>
      <w:tr w:rsidR="00303502" w:rsidRPr="00303502" w:rsidTr="00EC7850">
        <w:trPr>
          <w:gridAfter w:val="1"/>
          <w:wAfter w:w="141" w:type="dxa"/>
          <w:trHeight w:val="79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proofErr w:type="spellStart"/>
            <w:r w:rsidRPr="00303502">
              <w:rPr>
                <w:rFonts w:ascii="Trebuchet MS" w:eastAsia="Times New Roman" w:hAnsi="Trebuchet MS" w:cs="Times New Roman"/>
                <w:color w:val="000000"/>
                <w:sz w:val="24"/>
                <w:szCs w:val="24"/>
                <w:lang w:eastAsia="en-GB"/>
              </w:rPr>
              <w:t>Hohmann</w:t>
            </w:r>
            <w:proofErr w:type="spellEnd"/>
            <w:r w:rsidRPr="00303502">
              <w:rPr>
                <w:rFonts w:ascii="Trebuchet MS" w:eastAsia="Times New Roman" w:hAnsi="Trebuchet MS" w:cs="Times New Roman"/>
                <w:color w:val="000000"/>
                <w:sz w:val="24"/>
                <w:szCs w:val="24"/>
                <w:lang w:eastAsia="en-GB"/>
              </w:rPr>
              <w:t xml:space="preserve"> Transfer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movement of a spacecraft from one circular orbit to another by gaining or losing orbital velocity. </w:t>
            </w:r>
          </w:p>
        </w:tc>
      </w:tr>
      <w:tr w:rsidR="00303502" w:rsidRPr="00303502" w:rsidTr="00EC7850">
        <w:trPr>
          <w:gridAfter w:val="1"/>
          <w:wAfter w:w="141" w:type="dxa"/>
          <w:trHeight w:val="103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Ion Drive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Ion thrusters accelerate ions in an electric field to generate thrust rather than burning fuel. They only require a small amount of fuel to do this. </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Kepler’s 3rd Law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As the orbital radius increases, the orbital period also increases. </w:t>
            </w:r>
          </w:p>
        </w:tc>
      </w:tr>
      <w:tr w:rsidR="00303502" w:rsidRPr="00303502" w:rsidTr="00EC7850">
        <w:trPr>
          <w:gridAfter w:val="1"/>
          <w:wAfter w:w="141" w:type="dxa"/>
          <w:trHeight w:val="37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Moon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 natural object that orbits a planet. </w:t>
            </w:r>
          </w:p>
        </w:tc>
      </w:tr>
      <w:tr w:rsidR="00303502" w:rsidRPr="00303502" w:rsidTr="00EC7850">
        <w:trPr>
          <w:gridAfter w:val="1"/>
          <w:wAfter w:w="141" w:type="dxa"/>
          <w:trHeight w:val="103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Orbital Period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time taken to go around the Sun in one full revolution, or the time taken for a moon to go once around a planet </w:t>
            </w:r>
            <w:proofErr w:type="spellStart"/>
            <w:r w:rsidRPr="00303502">
              <w:rPr>
                <w:rFonts w:ascii="Trebuchet MS" w:eastAsia="Times New Roman" w:hAnsi="Trebuchet MS" w:cs="Times New Roman"/>
                <w:color w:val="000000"/>
                <w:sz w:val="24"/>
                <w:szCs w:val="24"/>
                <w:lang w:eastAsia="en-GB"/>
              </w:rPr>
              <w:t>etc</w:t>
            </w:r>
            <w:proofErr w:type="spellEnd"/>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Orbital Radius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distance between the centre of an object and the centre </w:t>
            </w:r>
            <w:r w:rsidRPr="00303502">
              <w:rPr>
                <w:rFonts w:ascii="Trebuchet MS" w:eastAsia="Times New Roman" w:hAnsi="Trebuchet MS" w:cs="Times New Roman"/>
                <w:color w:val="000000"/>
                <w:sz w:val="24"/>
                <w:szCs w:val="24"/>
                <w:lang w:eastAsia="en-GB"/>
              </w:rPr>
              <w:lastRenderedPageBreak/>
              <w:t xml:space="preserve">of the body it is orbiting. </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lastRenderedPageBreak/>
              <w:t xml:space="preserve">Planet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An object that does not undergo nuclear fusion but orbits a star. </w:t>
            </w:r>
          </w:p>
        </w:tc>
      </w:tr>
      <w:tr w:rsidR="00303502" w:rsidRPr="00303502" w:rsidTr="00EC7850">
        <w:trPr>
          <w:gridAfter w:val="1"/>
          <w:wAfter w:w="141" w:type="dxa"/>
          <w:trHeight w:val="37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Solar System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 central star orbited by planets. </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Star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A large ball of hot gases that is undergoing nuclear fusion and emitting electromagnetic radiation</w:t>
            </w:r>
          </w:p>
        </w:tc>
      </w:tr>
      <w:tr w:rsidR="00303502" w:rsidRPr="00303502" w:rsidTr="00EC7850">
        <w:trPr>
          <w:gridAfter w:val="1"/>
          <w:wAfter w:w="141" w:type="dxa"/>
          <w:trHeight w:val="37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Sun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star at the centre of our solar system. </w:t>
            </w:r>
          </w:p>
        </w:tc>
      </w:tr>
      <w:tr w:rsidR="00303502" w:rsidRPr="00303502" w:rsidTr="00EC7850">
        <w:trPr>
          <w:gridAfter w:val="1"/>
          <w:wAfter w:w="141" w:type="dxa"/>
          <w:trHeight w:val="491"/>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Universe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Consists of many galaxies separated by empty space. </w:t>
            </w:r>
          </w:p>
        </w:tc>
      </w:tr>
      <w:tr w:rsidR="00303502" w:rsidRPr="00303502" w:rsidTr="00EC7850">
        <w:trPr>
          <w:gridAfter w:val="1"/>
          <w:wAfter w:w="141" w:type="dxa"/>
          <w:trHeight w:val="690"/>
        </w:trPr>
        <w:tc>
          <w:tcPr>
            <w:tcW w:w="9924" w:type="dxa"/>
            <w:gridSpan w:val="2"/>
            <w:shd w:val="clear" w:color="auto" w:fill="auto"/>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b/>
                <w:color w:val="000000"/>
                <w:sz w:val="32"/>
                <w:szCs w:val="32"/>
                <w:lang w:eastAsia="en-GB"/>
              </w:rPr>
              <w:t>Electricity</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Alternating Current (A.C.)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An electric current which cons</w:t>
            </w:r>
            <w:r>
              <w:rPr>
                <w:rFonts w:ascii="Trebuchet MS" w:eastAsia="Times New Roman" w:hAnsi="Trebuchet MS" w:cs="Times New Roman"/>
                <w:color w:val="000000"/>
                <w:sz w:val="24"/>
                <w:szCs w:val="24"/>
                <w:lang w:eastAsia="en-GB"/>
              </w:rPr>
              <w:t>tantly changes direction and it</w:t>
            </w:r>
            <w:r w:rsidRPr="00303502">
              <w:rPr>
                <w:rFonts w:ascii="Trebuchet MS" w:eastAsia="Times New Roman" w:hAnsi="Trebuchet MS" w:cs="Times New Roman"/>
                <w:color w:val="000000"/>
                <w:sz w:val="24"/>
                <w:szCs w:val="24"/>
                <w:lang w:eastAsia="en-GB"/>
              </w:rPr>
              <w:t xml:space="preserve">s magnitude (size). </w:t>
            </w:r>
          </w:p>
        </w:tc>
      </w:tr>
      <w:tr w:rsidR="00303502" w:rsidRPr="00303502" w:rsidTr="00EC7850">
        <w:trPr>
          <w:gridAfter w:val="1"/>
          <w:wAfter w:w="141" w:type="dxa"/>
          <w:trHeight w:val="51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Ammeter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 component used to measure the current in a circuit. </w:t>
            </w:r>
          </w:p>
        </w:tc>
      </w:tr>
      <w:tr w:rsidR="00303502" w:rsidRPr="00303502" w:rsidTr="00EC7850">
        <w:trPr>
          <w:gridAfter w:val="1"/>
          <w:wAfter w:w="141" w:type="dxa"/>
          <w:trHeight w:val="37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Battery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 collection of two or more cells. </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Bulb/Lamp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 component that converts electrical energy to light energy. </w:t>
            </w:r>
          </w:p>
        </w:tc>
      </w:tr>
      <w:tr w:rsidR="00303502" w:rsidRPr="00303502" w:rsidTr="00EC7850">
        <w:trPr>
          <w:gridAfter w:val="1"/>
          <w:wAfter w:w="141" w:type="dxa"/>
          <w:trHeight w:val="37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Cell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 component used to power a circuit. </w:t>
            </w:r>
          </w:p>
        </w:tc>
      </w:tr>
      <w:tr w:rsidR="00303502" w:rsidRPr="00303502" w:rsidTr="00EC7850">
        <w:trPr>
          <w:gridAfter w:val="1"/>
          <w:wAfter w:w="141" w:type="dxa"/>
          <w:trHeight w:val="79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Direct Current (D.C.)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The flow of electrons or charge in one direction only. Current which only flows direction in the circuit.</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Electric Field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 force field that surrounds any electric charge, causing a charge to experience a force. </w:t>
            </w:r>
          </w:p>
        </w:tc>
      </w:tr>
      <w:tr w:rsidR="00303502" w:rsidRPr="00303502" w:rsidTr="00EC7850">
        <w:trPr>
          <w:gridAfter w:val="1"/>
          <w:wAfter w:w="141" w:type="dxa"/>
          <w:trHeight w:val="37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Electrical Current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electric charge transferred per second. </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Mains Voltage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voltage supplied to any electrical device plugged into the mains. In the UK, this is 230 V. </w:t>
            </w:r>
          </w:p>
        </w:tc>
      </w:tr>
      <w:tr w:rsidR="00303502" w:rsidRPr="00303502" w:rsidTr="00EC7850">
        <w:trPr>
          <w:gridAfter w:val="1"/>
          <w:wAfter w:w="141" w:type="dxa"/>
          <w:trHeight w:val="49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Non-</w:t>
            </w:r>
            <w:proofErr w:type="spellStart"/>
            <w:r w:rsidRPr="00303502">
              <w:rPr>
                <w:rFonts w:ascii="Trebuchet MS" w:eastAsia="Times New Roman" w:hAnsi="Trebuchet MS" w:cs="Times New Roman"/>
                <w:color w:val="000000"/>
                <w:sz w:val="24"/>
                <w:szCs w:val="24"/>
                <w:lang w:eastAsia="en-GB"/>
              </w:rPr>
              <w:t>Ohmic</w:t>
            </w:r>
            <w:proofErr w:type="spellEnd"/>
            <w:r w:rsidRPr="00303502">
              <w:rPr>
                <w:rFonts w:ascii="Trebuchet MS" w:eastAsia="Times New Roman" w:hAnsi="Trebuchet MS" w:cs="Times New Roman"/>
                <w:color w:val="000000"/>
                <w:sz w:val="24"/>
                <w:szCs w:val="24"/>
                <w:lang w:eastAsia="en-GB"/>
              </w:rPr>
              <w:t xml:space="preserve"> Conductor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 component that does not obey Ohm’s law. </w:t>
            </w:r>
          </w:p>
        </w:tc>
      </w:tr>
      <w:tr w:rsidR="00303502" w:rsidRPr="00303502" w:rsidTr="00EC7850">
        <w:trPr>
          <w:gridAfter w:val="1"/>
          <w:wAfter w:w="141" w:type="dxa"/>
          <w:trHeight w:val="103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Ohm’s Law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For a fixed temperature, the voltage across a conductor is directly proportional to the current passing through it. </w:t>
            </w:r>
          </w:p>
        </w:tc>
      </w:tr>
      <w:tr w:rsidR="00303502" w:rsidRPr="00303502" w:rsidTr="00EC7850">
        <w:trPr>
          <w:gridAfter w:val="1"/>
          <w:wAfter w:w="141" w:type="dxa"/>
          <w:trHeight w:val="37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proofErr w:type="spellStart"/>
            <w:r w:rsidRPr="00303502">
              <w:rPr>
                <w:rFonts w:ascii="Trebuchet MS" w:eastAsia="Times New Roman" w:hAnsi="Trebuchet MS" w:cs="Times New Roman"/>
                <w:color w:val="000000"/>
                <w:sz w:val="24"/>
                <w:szCs w:val="24"/>
                <w:lang w:eastAsia="en-GB"/>
              </w:rPr>
              <w:t>Ohmic</w:t>
            </w:r>
            <w:proofErr w:type="spellEnd"/>
            <w:r w:rsidRPr="00303502">
              <w:rPr>
                <w:rFonts w:ascii="Trebuchet MS" w:eastAsia="Times New Roman" w:hAnsi="Trebuchet MS" w:cs="Times New Roman"/>
                <w:color w:val="000000"/>
                <w:sz w:val="24"/>
                <w:szCs w:val="24"/>
                <w:lang w:eastAsia="en-GB"/>
              </w:rPr>
              <w:t xml:space="preserve"> Conductor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 component that obeys Ohm’s law. </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Ohmmeter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 device used to measure the resistance of a circuit component. </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Parallel Circuit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 circuit in which there is more than one path (branch) for the current to flow. </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lastRenderedPageBreak/>
              <w:t xml:space="preserve">Potential Difference (Voltage)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energy supplied to each coulomb of charge that passes through a power supply. </w:t>
            </w:r>
          </w:p>
        </w:tc>
      </w:tr>
      <w:tr w:rsidR="00303502" w:rsidRPr="00303502" w:rsidTr="00EC7850">
        <w:trPr>
          <w:gridAfter w:val="1"/>
          <w:wAfter w:w="141" w:type="dxa"/>
          <w:trHeight w:val="37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Resistance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opposition to a current or electron flow. </w:t>
            </w:r>
          </w:p>
        </w:tc>
      </w:tr>
      <w:tr w:rsidR="00303502" w:rsidRPr="00303502" w:rsidTr="00EC7850">
        <w:trPr>
          <w:gridAfter w:val="1"/>
          <w:wAfter w:w="141" w:type="dxa"/>
          <w:trHeight w:val="37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Resistor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 component that opposes the flow of current. </w:t>
            </w:r>
          </w:p>
        </w:tc>
      </w:tr>
      <w:tr w:rsidR="00303502" w:rsidRPr="00303502" w:rsidTr="00EC7850">
        <w:trPr>
          <w:gridAfter w:val="1"/>
          <w:wAfter w:w="141" w:type="dxa"/>
          <w:trHeight w:val="103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Series Circuit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 circuit in which all components are connected one after the other and there is only one path for the current to flow. </w:t>
            </w:r>
          </w:p>
        </w:tc>
      </w:tr>
      <w:tr w:rsidR="00303502" w:rsidRPr="00303502" w:rsidTr="00EC7850">
        <w:trPr>
          <w:gridAfter w:val="1"/>
          <w:wAfter w:w="141" w:type="dxa"/>
          <w:trHeight w:val="49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Switch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 component that allows a circuit to be turned on/off. </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Variable Resistor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 component that allows the flow of current in a circuit to be changed. </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Voltmeter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 device used to measure the voltage across a circuit component. </w:t>
            </w:r>
          </w:p>
        </w:tc>
      </w:tr>
      <w:tr w:rsidR="00303502" w:rsidRPr="00303502" w:rsidTr="00EC7850">
        <w:trPr>
          <w:gridAfter w:val="1"/>
          <w:wAfter w:w="141" w:type="dxa"/>
          <w:trHeight w:val="495"/>
        </w:trPr>
        <w:tc>
          <w:tcPr>
            <w:tcW w:w="9924" w:type="dxa"/>
            <w:gridSpan w:val="2"/>
            <w:shd w:val="clear" w:color="auto" w:fill="auto"/>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b/>
                <w:color w:val="000000"/>
                <w:sz w:val="32"/>
                <w:szCs w:val="32"/>
                <w:lang w:eastAsia="en-GB"/>
              </w:rPr>
              <w:t>Properties of Matter</w:t>
            </w:r>
          </w:p>
        </w:tc>
      </w:tr>
      <w:tr w:rsidR="00303502" w:rsidRPr="00303502" w:rsidTr="00EC7850">
        <w:trPr>
          <w:gridAfter w:val="1"/>
          <w:wAfter w:w="141" w:type="dxa"/>
          <w:trHeight w:val="138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Absolute Zero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temperature at which the pressure in a substance is zero. This occurs at -273 °C (or 0 K), where we assume that the average kinetic energy of the particles is zero. </w:t>
            </w:r>
          </w:p>
        </w:tc>
      </w:tr>
      <w:tr w:rsidR="00303502" w:rsidRPr="00303502" w:rsidTr="00EC7850">
        <w:trPr>
          <w:gridAfter w:val="1"/>
          <w:wAfter w:w="141" w:type="dxa"/>
          <w:trHeight w:val="49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Condensing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process by which a gas changes state to a liquid. </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Conduction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transfer of heat through a solid. Heat flows from a high temperature to a low temperature. </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Convection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transfer of heat from one place to another by the movement of fluids (liquids and gases). </w:t>
            </w:r>
          </w:p>
        </w:tc>
      </w:tr>
      <w:tr w:rsidR="00303502" w:rsidRPr="00303502" w:rsidTr="00EC7850">
        <w:trPr>
          <w:gridAfter w:val="1"/>
          <w:wAfter w:w="141" w:type="dxa"/>
          <w:trHeight w:val="49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Freezing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process by which a liquid changes state to a solid. </w:t>
            </w:r>
          </w:p>
        </w:tc>
      </w:tr>
      <w:tr w:rsidR="00303502" w:rsidRPr="00303502" w:rsidTr="00EC7850">
        <w:trPr>
          <w:gridAfter w:val="1"/>
          <w:wAfter w:w="141" w:type="dxa"/>
          <w:trHeight w:val="52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Fusion (Melting)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process by which a solid changes state to a liquid. </w:t>
            </w:r>
          </w:p>
        </w:tc>
      </w:tr>
      <w:tr w:rsidR="00303502" w:rsidRPr="00303502" w:rsidTr="00EC7850">
        <w:trPr>
          <w:gridAfter w:val="1"/>
          <w:wAfter w:w="141" w:type="dxa"/>
          <w:trHeight w:val="103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Heat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 form of energy measured in joules (J). It is a measure of the total kinetic energy of the particles in an object. </w:t>
            </w:r>
          </w:p>
        </w:tc>
      </w:tr>
      <w:tr w:rsidR="00303502" w:rsidRPr="00303502" w:rsidTr="00EC7850">
        <w:trPr>
          <w:gridAfter w:val="1"/>
          <w:wAfter w:w="141" w:type="dxa"/>
          <w:trHeight w:val="37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Pressure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force per unit area. </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Radiation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transfer of heat by electromagnetic waves (infrared). </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Specific Heat Capacity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amount of heat energy required to change the temperature of 1 kg of a substance by 1 °C. </w:t>
            </w:r>
          </w:p>
        </w:tc>
      </w:tr>
      <w:tr w:rsidR="00303502" w:rsidRPr="00303502" w:rsidTr="00EC7850">
        <w:trPr>
          <w:gridAfter w:val="1"/>
          <w:wAfter w:w="141" w:type="dxa"/>
          <w:trHeight w:val="103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Specific Latent Heat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amount of heat energy required to change the state of 1 kg of a substance </w:t>
            </w:r>
            <w:r w:rsidRPr="00303502">
              <w:rPr>
                <w:rFonts w:ascii="Trebuchet MS" w:eastAsia="Times New Roman" w:hAnsi="Trebuchet MS" w:cs="Times New Roman"/>
                <w:b/>
                <w:bCs/>
                <w:color w:val="000000"/>
                <w:sz w:val="24"/>
                <w:szCs w:val="24"/>
                <w:lang w:eastAsia="en-GB"/>
              </w:rPr>
              <w:t>without a change in temperature</w:t>
            </w:r>
            <w:r w:rsidRPr="00303502">
              <w:rPr>
                <w:rFonts w:ascii="Trebuchet MS" w:eastAsia="Times New Roman" w:hAnsi="Trebuchet MS" w:cs="Times New Roman"/>
                <w:color w:val="000000"/>
                <w:sz w:val="24"/>
                <w:szCs w:val="24"/>
                <w:lang w:eastAsia="en-GB"/>
              </w:rPr>
              <w:t xml:space="preserve">. </w:t>
            </w:r>
          </w:p>
        </w:tc>
      </w:tr>
      <w:tr w:rsidR="00303502" w:rsidRPr="00303502" w:rsidTr="00EC7850">
        <w:trPr>
          <w:gridAfter w:val="1"/>
          <w:wAfter w:w="141" w:type="dxa"/>
          <w:trHeight w:val="103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lastRenderedPageBreak/>
              <w:t xml:space="preserve">Specific Latent Heat of Fusion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energy required to change 1 kg of a solid into a liquid at its melting </w:t>
            </w:r>
            <w:proofErr w:type="gramStart"/>
            <w:r w:rsidRPr="00303502">
              <w:rPr>
                <w:rFonts w:ascii="Trebuchet MS" w:eastAsia="Times New Roman" w:hAnsi="Trebuchet MS" w:cs="Times New Roman"/>
                <w:color w:val="000000"/>
                <w:sz w:val="24"/>
                <w:szCs w:val="24"/>
                <w:lang w:eastAsia="en-GB"/>
              </w:rPr>
              <w:t>point  without</w:t>
            </w:r>
            <w:proofErr w:type="gramEnd"/>
            <w:r w:rsidRPr="00303502">
              <w:rPr>
                <w:rFonts w:ascii="Trebuchet MS" w:eastAsia="Times New Roman" w:hAnsi="Trebuchet MS" w:cs="Times New Roman"/>
                <w:color w:val="000000"/>
                <w:sz w:val="24"/>
                <w:szCs w:val="24"/>
                <w:lang w:eastAsia="en-GB"/>
              </w:rPr>
              <w:t xml:space="preserve"> a change in temperature.  </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Specific Latent Heat of Vaporisation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energy required to change 1 kg of a liquid into a gas at its boiling point. </w:t>
            </w:r>
          </w:p>
        </w:tc>
      </w:tr>
      <w:tr w:rsidR="00303502" w:rsidRPr="00303502" w:rsidTr="00EC7850">
        <w:trPr>
          <w:gridAfter w:val="1"/>
          <w:wAfter w:w="141" w:type="dxa"/>
          <w:trHeight w:val="111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Temperature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Indicates how hot or cold an object is, measured in degrees Celsius (°C) or kelvin (K). It is a measure of the average kinetic energy of the particles in an object. </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Vaporisation (Evaporating)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process by which a liquid changes state to a gas. </w:t>
            </w:r>
          </w:p>
        </w:tc>
      </w:tr>
      <w:tr w:rsidR="00303502" w:rsidRPr="00303502" w:rsidTr="00EC7850">
        <w:trPr>
          <w:gridAfter w:val="1"/>
          <w:wAfter w:w="141" w:type="dxa"/>
          <w:trHeight w:val="515"/>
        </w:trPr>
        <w:tc>
          <w:tcPr>
            <w:tcW w:w="9924" w:type="dxa"/>
            <w:gridSpan w:val="2"/>
            <w:shd w:val="clear" w:color="auto" w:fill="auto"/>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b/>
                <w:color w:val="000000"/>
                <w:sz w:val="32"/>
                <w:szCs w:val="32"/>
                <w:lang w:eastAsia="en-GB"/>
              </w:rPr>
              <w:t>Waves</w:t>
            </w:r>
          </w:p>
        </w:tc>
      </w:tr>
      <w:tr w:rsidR="00303502" w:rsidRPr="00303502" w:rsidTr="00EC7850">
        <w:trPr>
          <w:gridAfter w:val="1"/>
          <w:wAfter w:w="141" w:type="dxa"/>
          <w:trHeight w:val="138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Amplitude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maximum distance from the mean position on a wave. (The vertical distance from the </w:t>
            </w:r>
            <w:r w:rsidRPr="00303502">
              <w:rPr>
                <w:rFonts w:ascii="Trebuchet MS" w:eastAsia="Times New Roman" w:hAnsi="Trebuchet MS" w:cs="Times New Roman"/>
                <w:b/>
                <w:bCs/>
                <w:color w:val="000000"/>
                <w:sz w:val="24"/>
                <w:szCs w:val="24"/>
                <w:lang w:eastAsia="en-GB"/>
              </w:rPr>
              <w:t>axis</w:t>
            </w:r>
            <w:r w:rsidRPr="00303502">
              <w:rPr>
                <w:rFonts w:ascii="Trebuchet MS" w:eastAsia="Times New Roman" w:hAnsi="Trebuchet MS" w:cs="Times New Roman"/>
                <w:color w:val="000000"/>
                <w:sz w:val="24"/>
                <w:szCs w:val="24"/>
                <w:lang w:eastAsia="en-GB"/>
              </w:rPr>
              <w:t xml:space="preserve"> to the top of the wave (crest) or </w:t>
            </w:r>
            <w:r w:rsidRPr="00303502">
              <w:rPr>
                <w:rFonts w:ascii="Trebuchet MS" w:eastAsia="Times New Roman" w:hAnsi="Trebuchet MS" w:cs="Times New Roman"/>
                <w:b/>
                <w:bCs/>
                <w:color w:val="000000"/>
                <w:sz w:val="24"/>
                <w:szCs w:val="24"/>
                <w:lang w:eastAsia="en-GB"/>
              </w:rPr>
              <w:t xml:space="preserve">axis </w:t>
            </w:r>
            <w:r w:rsidRPr="00303502">
              <w:rPr>
                <w:rFonts w:ascii="Trebuchet MS" w:eastAsia="Times New Roman" w:hAnsi="Trebuchet MS" w:cs="Times New Roman"/>
                <w:color w:val="000000"/>
                <w:sz w:val="24"/>
                <w:szCs w:val="24"/>
                <w:lang w:eastAsia="en-GB"/>
              </w:rPr>
              <w:t xml:space="preserve">to the bottom of the wave (trough). It is also half the vertical height of the wave. </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Angle of Incidence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angle measured between the incident ray and the normal. </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Angle of Refraction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angle measured between the refracted ray and the normal. </w:t>
            </w:r>
          </w:p>
        </w:tc>
      </w:tr>
      <w:tr w:rsidR="00303502" w:rsidRPr="00303502" w:rsidTr="00EC7850">
        <w:trPr>
          <w:gridAfter w:val="1"/>
          <w:wAfter w:w="141" w:type="dxa"/>
          <w:trHeight w:val="37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Crest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top point (peak) of a wave. </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Diffraction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bending of waves through gaps or around obstacles. </w:t>
            </w:r>
          </w:p>
        </w:tc>
      </w:tr>
      <w:tr w:rsidR="00303502" w:rsidRPr="00303502" w:rsidTr="00EC7850">
        <w:trPr>
          <w:gridAfter w:val="1"/>
          <w:wAfter w:w="141" w:type="dxa"/>
          <w:trHeight w:val="111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proofErr w:type="spellStart"/>
            <w:r w:rsidRPr="00303502">
              <w:rPr>
                <w:rFonts w:ascii="Trebuchet MS" w:eastAsia="Times New Roman" w:hAnsi="Trebuchet MS" w:cs="Times New Roman"/>
                <w:color w:val="000000"/>
                <w:sz w:val="24"/>
                <w:szCs w:val="24"/>
                <w:lang w:eastAsia="en-GB"/>
              </w:rPr>
              <w:t>Eletromagnetic</w:t>
            </w:r>
            <w:proofErr w:type="spellEnd"/>
            <w:r w:rsidRPr="00303502">
              <w:rPr>
                <w:rFonts w:ascii="Trebuchet MS" w:eastAsia="Times New Roman" w:hAnsi="Trebuchet MS" w:cs="Times New Roman"/>
                <w:color w:val="000000"/>
                <w:sz w:val="24"/>
                <w:szCs w:val="24"/>
                <w:lang w:eastAsia="en-GB"/>
              </w:rPr>
              <w:t xml:space="preserve"> Spectrum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A group of all the types of electromagnetic radiation ordered in terms of their wavelength/frequency. All the waves travel at the speed of light (3 ´ 10</w:t>
            </w:r>
            <w:r w:rsidRPr="00303502">
              <w:rPr>
                <w:rFonts w:ascii="Trebuchet MS" w:eastAsia="Times New Roman" w:hAnsi="Trebuchet MS" w:cs="Times New Roman"/>
                <w:color w:val="000000"/>
                <w:sz w:val="24"/>
                <w:szCs w:val="24"/>
                <w:vertAlign w:val="superscript"/>
                <w:lang w:eastAsia="en-GB"/>
              </w:rPr>
              <w:t xml:space="preserve">8 </w:t>
            </w:r>
            <w:r w:rsidRPr="00303502">
              <w:rPr>
                <w:rFonts w:ascii="Trebuchet MS" w:eastAsia="Times New Roman" w:hAnsi="Trebuchet MS" w:cs="Times New Roman"/>
                <w:color w:val="000000"/>
                <w:sz w:val="24"/>
                <w:szCs w:val="24"/>
                <w:lang w:eastAsia="en-GB"/>
              </w:rPr>
              <w:t>ms</w:t>
            </w:r>
            <w:r w:rsidRPr="00303502">
              <w:rPr>
                <w:rFonts w:ascii="Trebuchet MS" w:eastAsia="Times New Roman" w:hAnsi="Trebuchet MS" w:cs="Times New Roman"/>
                <w:color w:val="000000"/>
                <w:sz w:val="24"/>
                <w:szCs w:val="24"/>
                <w:vertAlign w:val="superscript"/>
                <w:lang w:eastAsia="en-GB"/>
              </w:rPr>
              <w:t>-1</w:t>
            </w:r>
            <w:r w:rsidRPr="00303502">
              <w:rPr>
                <w:rFonts w:ascii="Trebuchet MS" w:eastAsia="Times New Roman" w:hAnsi="Trebuchet MS" w:cs="Times New Roman"/>
                <w:color w:val="000000"/>
                <w:sz w:val="24"/>
                <w:szCs w:val="24"/>
                <w:lang w:eastAsia="en-GB"/>
              </w:rPr>
              <w:t>)</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Frequency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number of waves produced or passing a point per second. </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Longitudinal Wave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 longitudinal wave is one where the particles vibrate along the same direction as the wave. </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Normal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 dashed line that is drawn perpendicular (at 90°) to any surface. </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Period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time taken for one wave to pass a point. It is also calculated from the inverse of the frequency. </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Refraction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change in speed of light as it passes from one medium to another (e.g. from air to glass). </w:t>
            </w:r>
          </w:p>
        </w:tc>
      </w:tr>
      <w:tr w:rsidR="00303502" w:rsidRPr="00303502" w:rsidTr="00EC7850">
        <w:trPr>
          <w:gridAfter w:val="1"/>
          <w:wAfter w:w="141" w:type="dxa"/>
          <w:trHeight w:val="85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Transverse Wave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 transverse wave is one where the particles move at right angles (90°) to the direction of travel of the wave. </w:t>
            </w:r>
          </w:p>
        </w:tc>
      </w:tr>
      <w:tr w:rsidR="00303502" w:rsidRPr="00303502" w:rsidTr="00EC7850">
        <w:trPr>
          <w:gridAfter w:val="1"/>
          <w:wAfter w:w="141" w:type="dxa"/>
          <w:trHeight w:val="37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lastRenderedPageBreak/>
              <w:t xml:space="preserve">Trough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bottom point of a wave. </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Wave speed</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distance travelled per second. It is also the frequency multiplied by the wavelength. </w:t>
            </w:r>
          </w:p>
        </w:tc>
      </w:tr>
      <w:tr w:rsidR="00303502" w:rsidRPr="00303502" w:rsidTr="00EC7850">
        <w:trPr>
          <w:gridAfter w:val="1"/>
          <w:wAfter w:w="141" w:type="dxa"/>
          <w:trHeight w:val="103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Wavelength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horizontal distance from one crest to the next crest, one trough to the next trough or one point on a wave to the same point on the next wave. </w:t>
            </w:r>
          </w:p>
        </w:tc>
      </w:tr>
      <w:tr w:rsidR="00303502" w:rsidRPr="00303502" w:rsidTr="00EC7850">
        <w:trPr>
          <w:trHeight w:val="375"/>
        </w:trPr>
        <w:tc>
          <w:tcPr>
            <w:tcW w:w="10065" w:type="dxa"/>
            <w:gridSpan w:val="3"/>
            <w:shd w:val="clear" w:color="auto" w:fill="auto"/>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b/>
                <w:color w:val="000000"/>
                <w:sz w:val="32"/>
                <w:szCs w:val="32"/>
                <w:lang w:eastAsia="en-GB"/>
              </w:rPr>
              <w:t>Radiation</w:t>
            </w:r>
          </w:p>
        </w:tc>
      </w:tr>
      <w:tr w:rsidR="00303502" w:rsidRPr="00303502" w:rsidTr="00EC7850">
        <w:trPr>
          <w:gridAfter w:val="1"/>
          <w:wAfter w:w="141" w:type="dxa"/>
          <w:trHeight w:val="37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Absorbed Dose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energy absorbed by a material per unit mass. </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Activity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number of nuclear decays (or disintegrations) per second. </w:t>
            </w:r>
          </w:p>
        </w:tc>
      </w:tr>
      <w:tr w:rsidR="00303502" w:rsidRPr="00303502" w:rsidTr="00EC7850">
        <w:trPr>
          <w:gridAfter w:val="1"/>
          <w:wAfter w:w="141" w:type="dxa"/>
          <w:trHeight w:val="106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Alpha Particle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A particle made up of 2 protons and 2 neutrons. It is also the nucleus of a helium atom. It has a charge or +2 or 3.2 ´10</w:t>
            </w:r>
            <w:r w:rsidRPr="00303502">
              <w:rPr>
                <w:rFonts w:ascii="Trebuchet MS" w:eastAsia="Times New Roman" w:hAnsi="Trebuchet MS" w:cs="Times New Roman"/>
                <w:color w:val="000000"/>
                <w:sz w:val="24"/>
                <w:szCs w:val="24"/>
                <w:vertAlign w:val="superscript"/>
                <w:lang w:eastAsia="en-GB"/>
              </w:rPr>
              <w:t xml:space="preserve">-19 </w:t>
            </w:r>
            <w:r w:rsidRPr="00303502">
              <w:rPr>
                <w:rFonts w:ascii="Trebuchet MS" w:eastAsia="Times New Roman" w:hAnsi="Trebuchet MS" w:cs="Times New Roman"/>
                <w:color w:val="000000"/>
                <w:sz w:val="24"/>
                <w:szCs w:val="24"/>
                <w:lang w:eastAsia="en-GB"/>
              </w:rPr>
              <w:t>C</w:t>
            </w:r>
          </w:p>
        </w:tc>
      </w:tr>
      <w:tr w:rsidR="00303502" w:rsidRPr="00303502" w:rsidTr="00EC7850">
        <w:trPr>
          <w:gridAfter w:val="1"/>
          <w:wAfter w:w="141" w:type="dxa"/>
          <w:trHeight w:val="103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Atom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An overall neutral particle consisting of a nucleus (protons and neutrons) and orbiting electrons. All matter is made up of atoms.</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Background Radiation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Radiation that is all around us and is caused by both natural and artificial sources, e.g. radon gas. </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Beta Particle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 fast moving electron. It has a charge of -1. It forms in the nucleus when a neutron changes to a proton. </w:t>
            </w:r>
          </w:p>
        </w:tc>
      </w:tr>
      <w:tr w:rsidR="00303502" w:rsidRPr="00303502" w:rsidTr="00EC7850">
        <w:trPr>
          <w:gridAfter w:val="1"/>
          <w:wAfter w:w="141" w:type="dxa"/>
          <w:trHeight w:val="72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Electron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A negatively charged particle that orbits the nucleus of an atom. It has a charge of -1.  or -1.6 ´10</w:t>
            </w:r>
            <w:r w:rsidRPr="00303502">
              <w:rPr>
                <w:rFonts w:ascii="Trebuchet MS" w:eastAsia="Times New Roman" w:hAnsi="Trebuchet MS" w:cs="Times New Roman"/>
                <w:color w:val="000000"/>
                <w:sz w:val="24"/>
                <w:szCs w:val="24"/>
                <w:vertAlign w:val="superscript"/>
                <w:lang w:eastAsia="en-GB"/>
              </w:rPr>
              <w:t>-19</w:t>
            </w:r>
            <w:r w:rsidRPr="00303502">
              <w:rPr>
                <w:rFonts w:ascii="Trebuchet MS" w:eastAsia="Times New Roman" w:hAnsi="Trebuchet MS" w:cs="Times New Roman"/>
                <w:color w:val="000000"/>
                <w:sz w:val="24"/>
                <w:szCs w:val="24"/>
                <w:lang w:eastAsia="en-GB"/>
              </w:rPr>
              <w:t xml:space="preserve"> C</w:t>
            </w:r>
          </w:p>
        </w:tc>
      </w:tr>
      <w:tr w:rsidR="00303502" w:rsidRPr="00303502" w:rsidTr="00EC7850">
        <w:trPr>
          <w:gridAfter w:val="1"/>
          <w:wAfter w:w="141" w:type="dxa"/>
          <w:trHeight w:val="172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Film Badge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An obsolete radiation detector worn by people who work with radioactive materials to monitor the radiation dose that they are exposed to. It uses different filters which blacken or ‘fog’ when radiation hits them. </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Gamma Ray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An electromagnetic wave of very high frequency and energy. </w:t>
            </w:r>
          </w:p>
        </w:tc>
      </w:tr>
      <w:tr w:rsidR="00303502" w:rsidRPr="00303502" w:rsidTr="00EC7850">
        <w:trPr>
          <w:gridAfter w:val="1"/>
          <w:wAfter w:w="141" w:type="dxa"/>
          <w:trHeight w:val="78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Geiger-Muller Tube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 radiation detector that uses the ionisation of gas in the tube to count the number of times radiation hits it. </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Ionisation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addition or removal of an electron from a neutral atom. </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Neutron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 particle with neutral charge that exists in the nucleus of an atom. </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Nucleus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small, dense region containing protons and neutrons at the centre of an atom. </w:t>
            </w:r>
          </w:p>
        </w:tc>
      </w:tr>
      <w:tr w:rsidR="00303502" w:rsidRPr="00303502" w:rsidTr="00EC7850">
        <w:trPr>
          <w:gridAfter w:val="1"/>
          <w:wAfter w:w="141" w:type="dxa"/>
          <w:trHeight w:val="72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lastRenderedPageBreak/>
              <w:t xml:space="preserve">Proton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A positively charged particle in the nucleus of an atom. It has a charge of +1.  or +1.6 ´10</w:t>
            </w:r>
            <w:r w:rsidRPr="00303502">
              <w:rPr>
                <w:rFonts w:ascii="Trebuchet MS" w:eastAsia="Times New Roman" w:hAnsi="Trebuchet MS" w:cs="Times New Roman"/>
                <w:color w:val="000000"/>
                <w:sz w:val="24"/>
                <w:szCs w:val="24"/>
                <w:vertAlign w:val="superscript"/>
                <w:lang w:eastAsia="en-GB"/>
              </w:rPr>
              <w:t>-19</w:t>
            </w:r>
            <w:r w:rsidRPr="00303502">
              <w:rPr>
                <w:rFonts w:ascii="Trebuchet MS" w:eastAsia="Times New Roman" w:hAnsi="Trebuchet MS" w:cs="Times New Roman"/>
                <w:color w:val="000000"/>
                <w:sz w:val="24"/>
                <w:szCs w:val="24"/>
                <w:lang w:eastAsia="en-GB"/>
              </w:rPr>
              <w:t xml:space="preserve"> C</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Radiation Weighting Factor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An indicator of the relative biological effect of radiation on a material. </w:t>
            </w:r>
          </w:p>
        </w:tc>
      </w:tr>
      <w:tr w:rsidR="00303502" w:rsidRPr="00303502" w:rsidTr="00EC7850">
        <w:trPr>
          <w:gridAfter w:val="1"/>
          <w:wAfter w:w="141" w:type="dxa"/>
          <w:trHeight w:val="1035"/>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Scintillation Counter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A radiation detector that counts the flashes of light produced when radiation hits the scintillating material. </w:t>
            </w:r>
          </w:p>
        </w:tc>
      </w:tr>
      <w:tr w:rsidR="00303502" w:rsidRPr="00303502" w:rsidTr="00EC7850">
        <w:trPr>
          <w:gridAfter w:val="1"/>
          <w:wAfter w:w="141" w:type="dxa"/>
          <w:trHeight w:val="690"/>
        </w:trPr>
        <w:tc>
          <w:tcPr>
            <w:tcW w:w="2849"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Shielding </w:t>
            </w:r>
          </w:p>
        </w:tc>
        <w:tc>
          <w:tcPr>
            <w:tcW w:w="7075" w:type="dxa"/>
            <w:shd w:val="clear" w:color="auto" w:fill="auto"/>
            <w:hideMark/>
          </w:tcPr>
          <w:p w:rsidR="00303502" w:rsidRPr="00303502" w:rsidRDefault="00303502" w:rsidP="00EC7850">
            <w:pPr>
              <w:spacing w:before="120" w:after="120" w:line="240" w:lineRule="auto"/>
              <w:rPr>
                <w:rFonts w:ascii="Trebuchet MS" w:eastAsia="Times New Roman" w:hAnsi="Trebuchet MS" w:cs="Times New Roman"/>
                <w:color w:val="000000"/>
                <w:sz w:val="24"/>
                <w:szCs w:val="24"/>
                <w:lang w:eastAsia="en-GB"/>
              </w:rPr>
            </w:pPr>
            <w:r w:rsidRPr="00303502">
              <w:rPr>
                <w:rFonts w:ascii="Trebuchet MS" w:eastAsia="Times New Roman" w:hAnsi="Trebuchet MS" w:cs="Times New Roman"/>
                <w:color w:val="000000"/>
                <w:sz w:val="24"/>
                <w:szCs w:val="24"/>
                <w:lang w:eastAsia="en-GB"/>
              </w:rPr>
              <w:t xml:space="preserve">The act of placing a material between a person and a radioactive source to absorb radiation. </w:t>
            </w:r>
          </w:p>
        </w:tc>
      </w:tr>
      <w:bookmarkEnd w:id="0"/>
    </w:tbl>
    <w:p w:rsidR="00A1369A" w:rsidRPr="00303502" w:rsidRDefault="00A1369A">
      <w:pPr>
        <w:rPr>
          <w:rFonts w:ascii="Trebuchet MS" w:hAnsi="Trebuchet MS"/>
          <w:sz w:val="24"/>
          <w:szCs w:val="24"/>
        </w:rPr>
      </w:pPr>
    </w:p>
    <w:sectPr w:rsidR="00A1369A" w:rsidRPr="00303502" w:rsidSect="00EC7850">
      <w:footerReference w:type="default" r:id="rId7"/>
      <w:pgSz w:w="11906" w:h="16838"/>
      <w:pgMar w:top="851" w:right="1440" w:bottom="709" w:left="1440" w:header="708" w:footer="1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05E" w:rsidRDefault="000B105E" w:rsidP="00EC7850">
      <w:pPr>
        <w:spacing w:after="0" w:line="240" w:lineRule="auto"/>
      </w:pPr>
      <w:r>
        <w:separator/>
      </w:r>
    </w:p>
  </w:endnote>
  <w:endnote w:type="continuationSeparator" w:id="0">
    <w:p w:rsidR="000B105E" w:rsidRDefault="000B105E" w:rsidP="00EC7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079538"/>
      <w:docPartObj>
        <w:docPartGallery w:val="Page Numbers (Bottom of Page)"/>
        <w:docPartUnique/>
      </w:docPartObj>
    </w:sdtPr>
    <w:sdtContent>
      <w:p w:rsidR="00EC7850" w:rsidRDefault="00EC7850">
        <w:pPr>
          <w:pStyle w:val="Footer"/>
          <w:jc w:val="center"/>
        </w:pPr>
        <w:r>
          <w:t>[</w:t>
        </w:r>
        <w:r>
          <w:fldChar w:fldCharType="begin"/>
        </w:r>
        <w:r>
          <w:instrText xml:space="preserve"> PAGE   \* MERGEFORMAT </w:instrText>
        </w:r>
        <w:r>
          <w:fldChar w:fldCharType="separate"/>
        </w:r>
        <w:r>
          <w:rPr>
            <w:noProof/>
          </w:rPr>
          <w:t>7</w:t>
        </w:r>
        <w:r>
          <w:rPr>
            <w:noProof/>
          </w:rPr>
          <w:fldChar w:fldCharType="end"/>
        </w:r>
        <w:r>
          <w:t>]</w:t>
        </w:r>
      </w:p>
    </w:sdtContent>
  </w:sdt>
  <w:p w:rsidR="00EC7850" w:rsidRDefault="00EC7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05E" w:rsidRDefault="000B105E" w:rsidP="00EC7850">
      <w:pPr>
        <w:spacing w:after="0" w:line="240" w:lineRule="auto"/>
      </w:pPr>
      <w:r>
        <w:separator/>
      </w:r>
    </w:p>
  </w:footnote>
  <w:footnote w:type="continuationSeparator" w:id="0">
    <w:p w:rsidR="000B105E" w:rsidRDefault="000B105E" w:rsidP="00EC78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02"/>
    <w:rsid w:val="000010E6"/>
    <w:rsid w:val="000B105E"/>
    <w:rsid w:val="001B3573"/>
    <w:rsid w:val="00303502"/>
    <w:rsid w:val="00A1369A"/>
    <w:rsid w:val="00D008B1"/>
    <w:rsid w:val="00EC7850"/>
    <w:rsid w:val="00FF3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850"/>
  </w:style>
  <w:style w:type="paragraph" w:styleId="Footer">
    <w:name w:val="footer"/>
    <w:basedOn w:val="Normal"/>
    <w:link w:val="FooterChar"/>
    <w:uiPriority w:val="99"/>
    <w:unhideWhenUsed/>
    <w:rsid w:val="00EC7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8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850"/>
  </w:style>
  <w:style w:type="paragraph" w:styleId="Footer">
    <w:name w:val="footer"/>
    <w:basedOn w:val="Normal"/>
    <w:link w:val="FooterChar"/>
    <w:uiPriority w:val="99"/>
    <w:unhideWhenUsed/>
    <w:rsid w:val="00EC7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334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1665</Words>
  <Characters>9495</Characters>
  <Application>Microsoft Office Word</Application>
  <DocSecurity>0</DocSecurity>
  <Lines>79</Lines>
  <Paragraphs>22</Paragraphs>
  <ScaleCrop>false</ScaleCrop>
  <Company>Altiris</Company>
  <LinksUpToDate>false</LinksUpToDate>
  <CharactersWithSpaces>11138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Hargreaves</dc:creator>
  <cp:lastModifiedBy>Jennie Hargreaves</cp:lastModifiedBy>
  <cp:revision>2</cp:revision>
  <dcterms:created xsi:type="dcterms:W3CDTF">2019-09-22T19:02:00Z</dcterms:created>
  <dcterms:modified xsi:type="dcterms:W3CDTF">2019-09-22T19:12:00Z</dcterms:modified>
</cp:coreProperties>
</file>