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Style w:val="GridTable4-Accent1"/>
        <w:tblpPr w:leftFromText="180" w:rightFromText="180" w:tblpY="342"/>
        <w:tblW w:w="104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85"/>
      </w:tblGrid>
      <w:tr w:rsidRPr="00A50A3E" w:rsidR="00EE6C43" w:rsidTr="00F13C83" w14:paraId="62FF258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Borders>
              <w:top w:val="none" w:color="auto" w:sz="0" w:space="0"/>
              <w:left w:val="none" w:color="auto" w:sz="0" w:space="0"/>
              <w:bottom w:val="none" w:color="auto" w:sz="0" w:space="0"/>
              <w:right w:val="none" w:color="auto" w:sz="0" w:space="0"/>
            </w:tcBorders>
          </w:tcPr>
          <w:p w:rsidRPr="00A50A3E" w:rsidR="00EE6C43" w:rsidP="00EE6C43" w:rsidRDefault="00EE6C43" w14:paraId="12626197" w14:textId="4043BA6D">
            <w:pPr>
              <w:spacing w:line="264" w:lineRule="auto"/>
              <w:rPr>
                <w:sz w:val="22"/>
                <w:szCs w:val="22"/>
              </w:rPr>
            </w:pPr>
            <w:r w:rsidRPr="00A50A3E">
              <w:rPr>
                <w:sz w:val="22"/>
                <w:szCs w:val="22"/>
              </w:rPr>
              <w:t>Equations</w:t>
            </w:r>
          </w:p>
        </w:tc>
      </w:tr>
      <w:tr w:rsidRPr="00A50A3E" w:rsidR="00EE6C43" w:rsidTr="00F13C83" w14:paraId="486F97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Pr>
          <w:p w:rsidRPr="00D62F77" w:rsidR="00EE6C43" w:rsidP="00D62F77" w:rsidRDefault="00F236E5" w14:paraId="65AA1189" w14:textId="2599B7AA">
            <w:pPr>
              <w:spacing w:line="264" w:lineRule="auto"/>
              <w:jc w:val="center"/>
              <w:rPr>
                <w:b w:val="0"/>
                <w:bCs w:val="0"/>
                <w:sz w:val="22"/>
                <w:szCs w:val="22"/>
              </w:rPr>
            </w:pPr>
            <m:oMathPara>
              <m:oMath>
                <m:m>
                  <m:mPr>
                    <m:mcs>
                      <m:mc>
                        <m:mcPr>
                          <m:count m:val="1"/>
                          <m:mcJc m:val="center"/>
                        </m:mcPr>
                      </m:mc>
                    </m:mcs>
                    <m:ctrlPr>
                      <w:rPr>
                        <w:rFonts w:ascii="Cambria Math" w:hAnsi="Cambria Math"/>
                        <w:i/>
                        <w:sz w:val="22"/>
                        <w:szCs w:val="22"/>
                      </w:rPr>
                    </m:ctrlPr>
                  </m:mPr>
                  <m:mr>
                    <m:e>
                      <m:r>
                        <m:rPr>
                          <m:sty m:val="bi"/>
                        </m:rPr>
                        <w:rPr>
                          <w:rFonts w:ascii="Cambria Math" w:hAnsi="Cambria Math"/>
                          <w:sz w:val="22"/>
                          <w:szCs w:val="22"/>
                        </w:rPr>
                        <m:t>Mean</m:t>
                      </m:r>
                    </m:e>
                  </m:mr>
                  <m:mr>
                    <m:e>
                      <m:r>
                        <m:rPr>
                          <m:sty m:val="bi"/>
                        </m:rPr>
                        <w:rPr>
                          <w:rFonts w:ascii="Cambria Math" w:hAnsi="Cambria Math"/>
                          <w:sz w:val="22"/>
                          <w:szCs w:val="22"/>
                        </w:rPr>
                        <m:t xml:space="preserve">Average </m:t>
                      </m:r>
                    </m:e>
                  </m:mr>
                </m:m>
                <m:r>
                  <m:rPr>
                    <m:sty m:val="bi"/>
                  </m:rPr>
                  <w:rPr>
                    <w:rFonts w:ascii="Cambria Math" w:hAnsi="Cambria Math"/>
                    <w:sz w:val="22"/>
                    <w:szCs w:val="22"/>
                  </w:rPr>
                  <m:t xml:space="preserve">= </m:t>
                </m:r>
                <m:f>
                  <m:fPr>
                    <m:ctrlPr>
                      <w:rPr>
                        <w:rFonts w:ascii="Cambria Math" w:hAnsi="Cambria Math"/>
                        <w:b w:val="0"/>
                        <w:bCs w:val="0"/>
                        <w:i/>
                        <w:sz w:val="22"/>
                        <w:szCs w:val="22"/>
                      </w:rPr>
                    </m:ctrlPr>
                  </m:fPr>
                  <m:num>
                    <m:r>
                      <m:rPr>
                        <m:sty m:val="bi"/>
                      </m:rPr>
                      <w:rPr>
                        <w:rFonts w:ascii="Cambria Math" w:hAnsi="Cambria Math"/>
                        <w:sz w:val="22"/>
                        <w:szCs w:val="22"/>
                      </w:rPr>
                      <m:t>Sum of the results</m:t>
                    </m:r>
                  </m:num>
                  <m:den>
                    <m:r>
                      <m:rPr>
                        <m:sty m:val="bi"/>
                      </m:rPr>
                      <w:rPr>
                        <w:rFonts w:ascii="Cambria Math" w:hAnsi="Cambria Math"/>
                        <w:sz w:val="22"/>
                        <w:szCs w:val="22"/>
                      </w:rPr>
                      <m:t>No. of observations</m:t>
                    </m:r>
                  </m:den>
                </m:f>
              </m:oMath>
            </m:oMathPara>
          </w:p>
        </w:tc>
      </w:tr>
      <w:tr w:rsidRPr="00A50A3E" w:rsidR="00F13C83" w:rsidTr="00F13C83" w14:paraId="3E8607E1" w14:textId="77777777">
        <w:tc>
          <w:tcPr>
            <w:cnfStyle w:val="001000000000" w:firstRow="0" w:lastRow="0" w:firstColumn="1" w:lastColumn="0" w:oddVBand="0" w:evenVBand="0" w:oddHBand="0" w:evenHBand="0" w:firstRowFirstColumn="0" w:firstRowLastColumn="0" w:lastRowFirstColumn="0" w:lastRowLastColumn="0"/>
            <w:tcW w:w="10485" w:type="dxa"/>
          </w:tcPr>
          <w:p w:rsidRPr="00D62F77" w:rsidR="00F13C83" w:rsidP="00D62F77" w:rsidRDefault="00F13C83" w14:paraId="2E2E3A79" w14:textId="266ED02E">
            <w:pPr>
              <w:spacing w:line="264" w:lineRule="auto"/>
              <w:jc w:val="center"/>
              <w:rPr>
                <w:rFonts w:ascii="Trebuchet MS" w:hAnsi="Trebuchet MS" w:eastAsia="Trebuchet MS" w:cs="Times New Roman"/>
                <w:b w:val="0"/>
                <w:bCs w:val="0"/>
                <w:sz w:val="22"/>
                <w:szCs w:val="22"/>
              </w:rPr>
            </w:pPr>
            <m:oMathPara>
              <m:oMath>
                <m:r>
                  <m:rPr>
                    <m:sty m:val="bi"/>
                  </m:rPr>
                  <w:rPr>
                    <w:rFonts w:ascii="Cambria Math" w:hAnsi="Cambria Math" w:eastAsia="Trebuchet MS" w:cs="Times New Roman"/>
                    <w:sz w:val="22"/>
                    <w:szCs w:val="22"/>
                  </w:rPr>
                  <m:t xml:space="preserve">Random Uncertainty= </m:t>
                </m:r>
                <m:f>
                  <m:fPr>
                    <m:ctrlPr>
                      <w:rPr>
                        <w:rFonts w:ascii="Cambria Math" w:hAnsi="Cambria Math" w:eastAsia="Trebuchet MS" w:cs="Times New Roman"/>
                        <w:b w:val="0"/>
                        <w:bCs w:val="0"/>
                        <w:i/>
                        <w:sz w:val="22"/>
                        <w:szCs w:val="22"/>
                      </w:rPr>
                    </m:ctrlPr>
                  </m:fPr>
                  <m:num>
                    <m:r>
                      <m:rPr>
                        <m:sty m:val="bi"/>
                      </m:rPr>
                      <w:rPr>
                        <w:rFonts w:ascii="Cambria Math" w:hAnsi="Cambria Math" w:eastAsia="Trebuchet MS" w:cs="Times New Roman"/>
                        <w:sz w:val="22"/>
                        <w:szCs w:val="22"/>
                      </w:rPr>
                      <m:t>Max-Min</m:t>
                    </m:r>
                  </m:num>
                  <m:den>
                    <m:r>
                      <m:rPr>
                        <m:sty m:val="bi"/>
                      </m:rPr>
                      <w:rPr>
                        <w:rFonts w:ascii="Cambria Math" w:hAnsi="Cambria Math"/>
                        <w:sz w:val="22"/>
                        <w:szCs w:val="22"/>
                      </w:rPr>
                      <m:t>No. of observations</m:t>
                    </m:r>
                  </m:den>
                </m:f>
              </m:oMath>
            </m:oMathPara>
          </w:p>
        </w:tc>
      </w:tr>
      <w:tr w:rsidRPr="00A50A3E" w:rsidR="00006138" w:rsidTr="00F13C83" w14:paraId="63A2CF9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Pr>
          <w:p w:rsidR="00006138" w:rsidP="00D62F77" w:rsidRDefault="00006138" w14:paraId="3996A774" w14:textId="7E9792B7">
            <w:pPr>
              <w:spacing w:line="264" w:lineRule="auto"/>
              <w:jc w:val="center"/>
              <w:rPr>
                <w:rFonts w:ascii="Trebuchet MS" w:hAnsi="Trebuchet MS" w:eastAsia="Trebuchet MS" w:cs="Times New Roman"/>
                <w:b w:val="0"/>
                <w:bCs w:val="0"/>
                <w:sz w:val="22"/>
                <w:szCs w:val="22"/>
              </w:rPr>
            </w:pPr>
            <m:oMathPara>
              <m:oMath>
                <m:r>
                  <m:rPr>
                    <m:sty m:val="bi"/>
                  </m:rPr>
                  <w:rPr>
                    <w:rFonts w:ascii="Cambria Math" w:hAnsi="Cambria Math" w:eastAsia="Trebuchet MS" w:cs="Times New Roman"/>
                    <w:sz w:val="22"/>
                    <w:szCs w:val="22"/>
                  </w:rPr>
                  <m:t xml:space="preserve">Percentage Uncertainty= </m:t>
                </m:r>
                <m:f>
                  <m:fPr>
                    <m:ctrlPr>
                      <w:rPr>
                        <w:rFonts w:ascii="Cambria Math" w:hAnsi="Cambria Math" w:eastAsia="Trebuchet MS" w:cs="Times New Roman"/>
                        <w:b w:val="0"/>
                        <w:bCs w:val="0"/>
                        <w:i/>
                        <w:sz w:val="22"/>
                        <w:szCs w:val="22"/>
                      </w:rPr>
                    </m:ctrlPr>
                  </m:fPr>
                  <m:num>
                    <m:r>
                      <m:rPr>
                        <m:sty m:val="bi"/>
                      </m:rPr>
                      <w:rPr>
                        <w:rFonts w:ascii="Cambria Math" w:hAnsi="Cambria Math" w:eastAsia="Trebuchet MS" w:cs="Times New Roman"/>
                        <w:sz w:val="22"/>
                        <w:szCs w:val="22"/>
                      </w:rPr>
                      <m:t>Random Uncertainty</m:t>
                    </m:r>
                  </m:num>
                  <m:den>
                    <m:r>
                      <m:rPr>
                        <m:sty m:val="bi"/>
                      </m:rPr>
                      <w:rPr>
                        <w:rFonts w:ascii="Cambria Math" w:hAnsi="Cambria Math" w:eastAsia="Trebuchet MS" w:cs="Times New Roman"/>
                        <w:sz w:val="22"/>
                        <w:szCs w:val="22"/>
                      </w:rPr>
                      <m:t>Mean</m:t>
                    </m:r>
                  </m:den>
                </m:f>
                <m:r>
                  <m:rPr>
                    <m:sty m:val="bi"/>
                  </m:rPr>
                  <w:rPr>
                    <w:rFonts w:ascii="Cambria Math" w:hAnsi="Cambria Math" w:eastAsia="Trebuchet MS" w:cs="Times New Roman"/>
                    <w:sz w:val="22"/>
                    <w:szCs w:val="22"/>
                  </w:rPr>
                  <m:t>×100</m:t>
                </m:r>
              </m:oMath>
            </m:oMathPara>
          </w:p>
        </w:tc>
      </w:tr>
      <w:tr w:rsidRPr="00A50A3E" w:rsidR="00585187" w:rsidTr="005E0D8C" w14:paraId="3FA7B72B" w14:textId="77777777">
        <w:tc>
          <w:tcPr>
            <w:cnfStyle w:val="001000000000" w:firstRow="0" w:lastRow="0" w:firstColumn="1" w:lastColumn="0" w:oddVBand="0" w:evenVBand="0" w:oddHBand="0" w:evenHBand="0" w:firstRowFirstColumn="0" w:firstRowLastColumn="0" w:lastRowFirstColumn="0" w:lastRowLastColumn="0"/>
            <w:tcW w:w="10485" w:type="dxa"/>
          </w:tcPr>
          <w:p w:rsidRPr="00805FB6" w:rsidR="00502A55" w:rsidP="00D62F77" w:rsidRDefault="00805FB6" w14:paraId="6AE63541" w14:textId="101E6A61">
            <w:pPr>
              <w:spacing w:line="264" w:lineRule="auto"/>
              <w:jc w:val="center"/>
              <w:rPr>
                <w:rFonts w:eastAsiaTheme="minorEastAsia"/>
                <w:b w:val="0"/>
                <w:bCs w:val="0"/>
                <w:iCs/>
              </w:rPr>
            </w:pPr>
            <m:oMathPara>
              <m:oMath>
                <m:r>
                  <m:rPr>
                    <m:sty m:val="bi"/>
                  </m:rPr>
                  <w:rPr>
                    <w:rFonts w:ascii="Cambria Math" w:hAnsi="Cambria Math"/>
                  </w:rPr>
                  <m:t>Analogue scale reading uncertainty± half the least division of the scale.</m:t>
                </m:r>
              </m:oMath>
            </m:oMathPara>
          </w:p>
          <w:p w:rsidRPr="00805FB6" w:rsidR="00585187" w:rsidP="00502A55" w:rsidRDefault="00F236E5" w14:paraId="1E01A1C5" w14:textId="11A7F80C">
            <w:pPr>
              <w:spacing w:line="264" w:lineRule="auto"/>
              <w:jc w:val="center"/>
              <w:rPr>
                <w:rFonts w:eastAsiaTheme="minorEastAsia"/>
                <w:bCs w:val="0"/>
                <w:iCs/>
                <w:sz w:val="22"/>
                <w:szCs w:val="22"/>
              </w:rPr>
            </w:pPr>
            <m:oMathPara>
              <m:oMath>
                <m:m>
                  <m:mPr>
                    <m:mcs>
                      <m:mc>
                        <m:mcPr>
                          <m:count m:val="1"/>
                          <m:mcJc m:val="center"/>
                        </m:mcPr>
                      </m:mc>
                    </m:mcs>
                    <m:ctrlPr>
                      <w:rPr>
                        <w:rFonts w:ascii="Cambria Math" w:hAnsi="Cambria Math"/>
                        <w:bCs w:val="0"/>
                        <w:i/>
                        <w:iCs/>
                      </w:rPr>
                    </m:ctrlPr>
                  </m:mPr>
                  <m:mr>
                    <m:e>
                      <m:r>
                        <m:rPr>
                          <m:sty m:val="bi"/>
                        </m:rPr>
                        <w:rPr>
                          <w:rFonts w:ascii="Cambria Math" w:hAnsi="Cambria Math"/>
                        </w:rPr>
                        <m:t xml:space="preserve">  %scale reading uncertainty</m:t>
                      </m:r>
                    </m:e>
                  </m:mr>
                  <m:mr>
                    <m:e>
                      <m:r>
                        <m:rPr>
                          <m:sty m:val="bi"/>
                        </m:rPr>
                        <w:rPr>
                          <w:rFonts w:ascii="Cambria Math" w:hAnsi="Cambria Math"/>
                        </w:rPr>
                        <m:t>in Analogue device</m:t>
                      </m:r>
                    </m:e>
                  </m:mr>
                </m:m>
                <m:r>
                  <m:rPr>
                    <m:sty m:val="bi"/>
                  </m:rPr>
                  <w:rPr>
                    <w:rFonts w:ascii="Cambria Math" w:hAnsi="Cambria Math"/>
                  </w:rPr>
                  <m:t xml:space="preserve">± </m:t>
                </m:r>
                <m:f>
                  <m:fPr>
                    <m:ctrlPr>
                      <w:rPr>
                        <w:rFonts w:ascii="Cambria Math" w:hAnsi="Cambria Math"/>
                        <w:bCs w:val="0"/>
                        <w:i/>
                        <w:iCs/>
                      </w:rPr>
                    </m:ctrlPr>
                  </m:fPr>
                  <m:num>
                    <m:r>
                      <m:rPr>
                        <m:sty m:val="bi"/>
                      </m:rPr>
                      <w:rPr>
                        <w:rFonts w:ascii="Cambria Math" w:hAnsi="Cambria Math"/>
                      </w:rPr>
                      <m:t>half the least division of the scale.</m:t>
                    </m:r>
                  </m:num>
                  <m:den>
                    <m:r>
                      <m:rPr>
                        <m:sty m:val="bi"/>
                      </m:rPr>
                      <w:rPr>
                        <w:rFonts w:ascii="Cambria Math" w:hAnsi="Cambria Math"/>
                      </w:rPr>
                      <m:t>reading</m:t>
                    </m:r>
                  </m:den>
                </m:f>
                <m:r>
                  <m:rPr>
                    <m:sty m:val="bi"/>
                  </m:rPr>
                  <w:rPr>
                    <w:rFonts w:ascii="Cambria Math" w:hAnsi="Cambria Math" w:eastAsiaTheme="minorEastAsia"/>
                  </w:rPr>
                  <m:t xml:space="preserve"> ×100%</m:t>
                </m:r>
              </m:oMath>
            </m:oMathPara>
          </w:p>
        </w:tc>
      </w:tr>
      <w:tr w:rsidRPr="00A50A3E" w:rsidR="007933E6" w:rsidTr="005E0D8C" w14:paraId="018A36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5" w:type="dxa"/>
          </w:tcPr>
          <w:p w:rsidRPr="00805FB6" w:rsidR="007933E6" w:rsidP="007933E6" w:rsidRDefault="007933E6" w14:paraId="14A70448" w14:textId="77777777">
            <w:pPr>
              <w:spacing w:line="264" w:lineRule="auto"/>
              <w:jc w:val="center"/>
              <w:rPr>
                <w:b w:val="0"/>
                <w:bCs w:val="0"/>
                <w:i/>
                <w:iCs/>
              </w:rPr>
            </w:pPr>
            <w:r w:rsidRPr="00805FB6">
              <w:rPr>
                <w:b w:val="0"/>
                <w:bCs w:val="0"/>
                <w:i/>
                <w:iCs/>
              </w:rPr>
              <w:t xml:space="preserve"> Digital scale reading uncertainty ± 1 in the least significant digit displayed.</w:t>
            </w:r>
          </w:p>
          <w:p w:rsidRPr="00805FB6" w:rsidR="00502A55" w:rsidP="00502A55" w:rsidRDefault="00F236E5" w14:paraId="19CA50CB" w14:textId="3F09D9CB">
            <w:pPr>
              <w:spacing w:line="264" w:lineRule="auto"/>
              <w:jc w:val="center"/>
              <w:rPr>
                <w:bCs w:val="0"/>
                <w:i/>
                <w:iCs/>
              </w:rPr>
            </w:pPr>
            <m:oMathPara>
              <m:oMath>
                <m:m>
                  <m:mPr>
                    <m:mcs>
                      <m:mc>
                        <m:mcPr>
                          <m:count m:val="1"/>
                          <m:mcJc m:val="center"/>
                        </m:mcPr>
                      </m:mc>
                    </m:mcs>
                    <m:ctrlPr>
                      <w:rPr>
                        <w:rFonts w:ascii="Cambria Math" w:hAnsi="Cambria Math"/>
                        <w:bCs w:val="0"/>
                        <w:i/>
                        <w:iCs/>
                      </w:rPr>
                    </m:ctrlPr>
                  </m:mPr>
                  <m:mr>
                    <m:e>
                      <m:r>
                        <m:rPr>
                          <m:sty m:val="bi"/>
                        </m:rPr>
                        <w:rPr>
                          <w:rFonts w:ascii="Cambria Math" w:hAnsi="Cambria Math"/>
                        </w:rPr>
                        <m:t xml:space="preserve">  %scale reading uncertainty</m:t>
                      </m:r>
                    </m:e>
                  </m:mr>
                  <m:mr>
                    <m:e>
                      <m:r>
                        <m:rPr>
                          <m:sty m:val="bi"/>
                        </m:rPr>
                        <w:rPr>
                          <w:rFonts w:ascii="Cambria Math" w:hAnsi="Cambria Math"/>
                        </w:rPr>
                        <m:t>in digital device</m:t>
                      </m:r>
                    </m:e>
                  </m:mr>
                </m:m>
                <m:r>
                  <m:rPr>
                    <m:sty m:val="bi"/>
                  </m:rPr>
                  <w:rPr>
                    <w:rFonts w:ascii="Cambria Math" w:hAnsi="Cambria Math"/>
                  </w:rPr>
                  <m:t xml:space="preserve">± </m:t>
                </m:r>
                <m:f>
                  <m:fPr>
                    <m:ctrlPr>
                      <w:rPr>
                        <w:rFonts w:ascii="Cambria Math" w:hAnsi="Cambria Math"/>
                        <w:bCs w:val="0"/>
                        <w:i/>
                        <w:iCs/>
                      </w:rPr>
                    </m:ctrlPr>
                  </m:fPr>
                  <m:num>
                    <m:r>
                      <m:rPr>
                        <m:sty m:val="bi"/>
                      </m:rPr>
                      <w:rPr>
                        <w:rFonts w:ascii="Cambria Math" w:hAnsi="Cambria Math"/>
                      </w:rPr>
                      <m:t>1 in the least significant digit.</m:t>
                    </m:r>
                  </m:num>
                  <m:den>
                    <m:r>
                      <m:rPr>
                        <m:sty m:val="bi"/>
                      </m:rPr>
                      <w:rPr>
                        <w:rFonts w:ascii="Cambria Math" w:hAnsi="Cambria Math"/>
                      </w:rPr>
                      <m:t>reading</m:t>
                    </m:r>
                  </m:den>
                </m:f>
                <m:r>
                  <m:rPr>
                    <m:sty m:val="bi"/>
                  </m:rPr>
                  <w:rPr>
                    <w:rFonts w:ascii="Cambria Math" w:hAnsi="Cambria Math" w:eastAsiaTheme="minorEastAsia"/>
                  </w:rPr>
                  <m:t xml:space="preserve"> ×100%</m:t>
                </m:r>
              </m:oMath>
            </m:oMathPara>
          </w:p>
        </w:tc>
      </w:tr>
    </w:tbl>
    <w:p w:rsidR="001F270B" w:rsidRDefault="001F270B" w14:paraId="5683434F" w14:textId="3627F348">
      <w:pPr>
        <w:rPr>
          <w:sz w:val="22"/>
          <w:szCs w:val="22"/>
        </w:rPr>
      </w:pPr>
    </w:p>
    <w:p w:rsidRPr="00A50A3E" w:rsidR="00F24CCF" w:rsidRDefault="00F24CCF" w14:paraId="432F6BE6" w14:textId="67C625FB">
      <w:pPr>
        <w:rPr>
          <w:sz w:val="22"/>
          <w:szCs w:val="22"/>
        </w:rPr>
      </w:pPr>
    </w:p>
    <w:tbl>
      <w:tblPr>
        <w:tblStyle w:val="GridTable4-Accent1"/>
        <w:tblW w:w="104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80"/>
        <w:gridCol w:w="8505"/>
      </w:tblGrid>
      <w:tr w:rsidRPr="00A50A3E" w:rsidR="00AE3FC4" w:rsidTr="00F13C83" w14:paraId="7B02A9B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top w:val="none" w:color="auto" w:sz="0" w:space="0"/>
              <w:left w:val="none" w:color="auto" w:sz="0" w:space="0"/>
              <w:bottom w:val="none" w:color="auto" w:sz="0" w:space="0"/>
              <w:right w:val="none" w:color="auto" w:sz="0" w:space="0"/>
            </w:tcBorders>
          </w:tcPr>
          <w:p w:rsidRPr="00A50A3E" w:rsidR="00AE3FC4" w:rsidRDefault="00AE3FC4" w14:paraId="368FF22C" w14:textId="62D730ED">
            <w:pPr>
              <w:rPr>
                <w:rFonts w:ascii="Trebuchet MS" w:hAnsi="Trebuchet MS"/>
                <w:sz w:val="22"/>
                <w:szCs w:val="22"/>
              </w:rPr>
            </w:pPr>
            <w:r w:rsidRPr="00A50A3E">
              <w:rPr>
                <w:rFonts w:ascii="Trebuchet MS" w:hAnsi="Trebuchet MS"/>
                <w:sz w:val="22"/>
                <w:szCs w:val="22"/>
              </w:rPr>
              <w:t>Key Words</w:t>
            </w:r>
          </w:p>
        </w:tc>
        <w:tc>
          <w:tcPr>
            <w:tcW w:w="8505" w:type="dxa"/>
            <w:tcBorders>
              <w:top w:val="none" w:color="auto" w:sz="0" w:space="0"/>
              <w:left w:val="none" w:color="auto" w:sz="0" w:space="0"/>
              <w:bottom w:val="none" w:color="auto" w:sz="0" w:space="0"/>
              <w:right w:val="none" w:color="auto" w:sz="0" w:space="0"/>
            </w:tcBorders>
          </w:tcPr>
          <w:p w:rsidRPr="00A50A3E" w:rsidR="00AE3FC4" w:rsidRDefault="00AE3FC4" w14:paraId="4B4A433F" w14:textId="01559280">
            <w:pPr>
              <w:cnfStyle w:val="100000000000" w:firstRow="1" w:lastRow="0" w:firstColumn="0" w:lastColumn="0" w:oddVBand="0" w:evenVBand="0" w:oddHBand="0" w:evenHBand="0" w:firstRowFirstColumn="0" w:firstRowLastColumn="0" w:lastRowFirstColumn="0" w:lastRowLastColumn="0"/>
              <w:rPr>
                <w:rFonts w:ascii="Trebuchet MS" w:hAnsi="Trebuchet MS"/>
                <w:sz w:val="22"/>
                <w:szCs w:val="22"/>
              </w:rPr>
            </w:pPr>
            <w:r w:rsidRPr="00A50A3E">
              <w:rPr>
                <w:rFonts w:ascii="Trebuchet MS" w:hAnsi="Trebuchet MS"/>
                <w:sz w:val="22"/>
                <w:szCs w:val="22"/>
              </w:rPr>
              <w:t>Meaning</w:t>
            </w:r>
          </w:p>
        </w:tc>
      </w:tr>
      <w:tr w:rsidRPr="00A50A3E" w:rsidR="00C93500" w:rsidTr="00F13C83" w14:paraId="7D13ED5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Pr="00A50A3E" w:rsidR="00C93500" w:rsidRDefault="006A2BFB" w14:paraId="3EB690D1" w14:textId="5C515666">
            <w:pPr>
              <w:rPr>
                <w:rFonts w:ascii="Trebuchet MS" w:hAnsi="Trebuchet MS"/>
                <w:sz w:val="22"/>
                <w:szCs w:val="22"/>
              </w:rPr>
            </w:pPr>
            <w:r>
              <w:rPr>
                <w:rFonts w:ascii="Trebuchet MS" w:hAnsi="Trebuchet MS"/>
                <w:sz w:val="22"/>
                <w:szCs w:val="22"/>
              </w:rPr>
              <w:t>Uncertainty</w:t>
            </w:r>
          </w:p>
        </w:tc>
        <w:tc>
          <w:tcPr>
            <w:tcW w:w="8505" w:type="dxa"/>
          </w:tcPr>
          <w:p w:rsidRPr="00A50A3E" w:rsidR="00C93500" w:rsidRDefault="00CF6E2F" w14:paraId="7CDE73F8" w14:textId="2496927E">
            <w:pPr>
              <w:cnfStyle w:val="000000100000" w:firstRow="0" w:lastRow="0" w:firstColumn="0" w:lastColumn="0" w:oddVBand="0" w:evenVBand="0" w:oddHBand="1" w:evenHBand="0" w:firstRowFirstColumn="0" w:firstRowLastColumn="0" w:lastRowFirstColumn="0" w:lastRowLastColumn="0"/>
              <w:rPr>
                <w:rFonts w:ascii="Trebuchet MS" w:hAnsi="Trebuchet MS"/>
                <w:sz w:val="22"/>
                <w:szCs w:val="22"/>
              </w:rPr>
            </w:pPr>
            <w:r>
              <w:rPr>
                <w:rFonts w:ascii="Trebuchet MS" w:hAnsi="Trebuchet MS"/>
                <w:sz w:val="22"/>
                <w:szCs w:val="22"/>
              </w:rPr>
              <w:t>M</w:t>
            </w:r>
            <w:r w:rsidRPr="00CF6E2F">
              <w:rPr>
                <w:rFonts w:ascii="Trebuchet MS" w:hAnsi="Trebuchet MS"/>
                <w:sz w:val="22"/>
                <w:szCs w:val="22"/>
              </w:rPr>
              <w:t xml:space="preserve">easurement of any physical quantity is liable to error </w:t>
            </w:r>
            <w:r>
              <w:rPr>
                <w:rFonts w:ascii="Trebuchet MS" w:hAnsi="Trebuchet MS"/>
                <w:sz w:val="22"/>
                <w:szCs w:val="22"/>
              </w:rPr>
              <w:t xml:space="preserve">and we are therefore </w:t>
            </w:r>
            <w:r w:rsidR="002374F7">
              <w:rPr>
                <w:rFonts w:ascii="Trebuchet MS" w:hAnsi="Trebuchet MS"/>
                <w:sz w:val="22"/>
                <w:szCs w:val="22"/>
              </w:rPr>
              <w:t xml:space="preserve"> uncertain</w:t>
            </w:r>
            <w:r>
              <w:rPr>
                <w:rFonts w:ascii="Trebuchet MS" w:hAnsi="Trebuchet MS"/>
                <w:sz w:val="22"/>
                <w:szCs w:val="22"/>
              </w:rPr>
              <w:t xml:space="preserve"> of the exact value.</w:t>
            </w:r>
            <w:r w:rsidR="00502A55">
              <w:rPr>
                <w:rFonts w:ascii="Trebuchet MS" w:hAnsi="Trebuchet MS"/>
                <w:sz w:val="22"/>
                <w:szCs w:val="22"/>
              </w:rPr>
              <w:t xml:space="preserve"> R</w:t>
            </w:r>
            <w:r w:rsidRPr="00502A55" w:rsidR="00502A55">
              <w:rPr>
                <w:rFonts w:ascii="Trebuchet MS" w:hAnsi="Trebuchet MS"/>
                <w:sz w:val="22"/>
                <w:szCs w:val="22"/>
              </w:rPr>
              <w:t>epeated measurements of a physical quantity are desirable</w:t>
            </w:r>
            <w:r w:rsidR="00805FB6">
              <w:rPr>
                <w:rFonts w:ascii="Trebuchet MS" w:hAnsi="Trebuchet MS"/>
                <w:sz w:val="22"/>
                <w:szCs w:val="22"/>
              </w:rPr>
              <w:t>.</w:t>
            </w:r>
          </w:p>
        </w:tc>
      </w:tr>
      <w:tr w:rsidRPr="00A50A3E" w:rsidR="006A2BFB" w:rsidTr="00F13C83" w14:paraId="532DA933" w14:textId="77777777">
        <w:tc>
          <w:tcPr>
            <w:cnfStyle w:val="001000000000" w:firstRow="0" w:lastRow="0" w:firstColumn="1" w:lastColumn="0" w:oddVBand="0" w:evenVBand="0" w:oddHBand="0" w:evenHBand="0" w:firstRowFirstColumn="0" w:firstRowLastColumn="0" w:lastRowFirstColumn="0" w:lastRowLastColumn="0"/>
            <w:tcW w:w="1980" w:type="dxa"/>
          </w:tcPr>
          <w:p w:rsidRPr="00E14F56" w:rsidR="00E14F56" w:rsidRDefault="006A2BFB" w14:paraId="35443A5A" w14:textId="2775359C">
            <w:pPr>
              <w:rPr>
                <w:rFonts w:ascii="Trebuchet MS" w:hAnsi="Trebuchet MS"/>
                <w:b w:val="0"/>
                <w:bCs w:val="0"/>
                <w:sz w:val="22"/>
                <w:szCs w:val="22"/>
              </w:rPr>
            </w:pPr>
            <w:r>
              <w:rPr>
                <w:rFonts w:ascii="Trebuchet MS" w:hAnsi="Trebuchet MS"/>
                <w:sz w:val="22"/>
                <w:szCs w:val="22"/>
              </w:rPr>
              <w:t>Error</w:t>
            </w:r>
          </w:p>
        </w:tc>
        <w:tc>
          <w:tcPr>
            <w:tcW w:w="8505" w:type="dxa"/>
          </w:tcPr>
          <w:p w:rsidRPr="00A50A3E" w:rsidR="006A2BFB" w:rsidRDefault="002374F7" w14:paraId="157F640B" w14:textId="0A6559DB">
            <w:pPr>
              <w:cnfStyle w:val="000000000000" w:firstRow="0" w:lastRow="0" w:firstColumn="0" w:lastColumn="0" w:oddVBand="0" w:evenVBand="0" w:oddHBand="0" w:evenHBand="0" w:firstRowFirstColumn="0" w:firstRowLastColumn="0" w:lastRowFirstColumn="0" w:lastRowLastColumn="0"/>
              <w:rPr>
                <w:rFonts w:ascii="Trebuchet MS" w:hAnsi="Trebuchet MS"/>
                <w:sz w:val="22"/>
                <w:szCs w:val="22"/>
              </w:rPr>
            </w:pPr>
            <w:r>
              <w:rPr>
                <w:rFonts w:ascii="Trebuchet MS" w:hAnsi="Trebuchet MS"/>
                <w:sz w:val="22"/>
                <w:szCs w:val="22"/>
              </w:rPr>
              <w:t>A word often used in place of uncertainty</w:t>
            </w:r>
            <w:r w:rsidR="00CF6E2F">
              <w:rPr>
                <w:rFonts w:ascii="Trebuchet MS" w:hAnsi="Trebuchet MS"/>
                <w:sz w:val="22"/>
                <w:szCs w:val="22"/>
              </w:rPr>
              <w:t>. In Physics we mean a mistake when we refer to an error. Uncertainties are not mistakes</w:t>
            </w:r>
            <w:r w:rsidR="00502A55">
              <w:rPr>
                <w:rFonts w:ascii="Trebuchet MS" w:hAnsi="Trebuchet MS"/>
                <w:sz w:val="22"/>
                <w:szCs w:val="22"/>
              </w:rPr>
              <w:t>.</w:t>
            </w:r>
            <w:r w:rsidR="00CF6E2F">
              <w:rPr>
                <w:rFonts w:ascii="Trebuchet MS" w:hAnsi="Trebuchet MS"/>
                <w:sz w:val="22"/>
                <w:szCs w:val="22"/>
              </w:rPr>
              <w:t xml:space="preserve"> </w:t>
            </w:r>
          </w:p>
        </w:tc>
      </w:tr>
      <w:tr w:rsidRPr="00A50A3E" w:rsidR="006A2BFB" w:rsidTr="00F13C83" w14:paraId="6C8384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6A2BFB" w:rsidRDefault="00E14F56" w14:paraId="10554B69" w14:textId="05611321">
            <w:pPr>
              <w:rPr>
                <w:rFonts w:ascii="Trebuchet MS" w:hAnsi="Trebuchet MS"/>
                <w:sz w:val="22"/>
                <w:szCs w:val="22"/>
              </w:rPr>
            </w:pPr>
            <w:r>
              <w:rPr>
                <w:rFonts w:ascii="Trebuchet MS" w:hAnsi="Trebuchet MS"/>
                <w:sz w:val="22"/>
                <w:szCs w:val="22"/>
              </w:rPr>
              <w:t>Accuracy</w:t>
            </w:r>
          </w:p>
        </w:tc>
        <w:tc>
          <w:tcPr>
            <w:tcW w:w="8505" w:type="dxa"/>
          </w:tcPr>
          <w:p w:rsidRPr="00A50A3E" w:rsidR="006A2BFB" w:rsidP="00502A55" w:rsidRDefault="00EB7E1B" w14:paraId="333AA974" w14:textId="71821F0F">
            <w:pPr>
              <w:cnfStyle w:val="000000100000" w:firstRow="0" w:lastRow="0" w:firstColumn="0" w:lastColumn="0" w:oddVBand="0" w:evenVBand="0" w:oddHBand="1" w:evenHBand="0" w:firstRowFirstColumn="0" w:firstRowLastColumn="0" w:lastRowFirstColumn="0" w:lastRowLastColumn="0"/>
              <w:rPr>
                <w:rFonts w:ascii="Trebuchet MS" w:hAnsi="Trebuchet MS"/>
                <w:sz w:val="22"/>
                <w:szCs w:val="22"/>
              </w:rPr>
            </w:pPr>
            <w:r>
              <w:rPr>
                <w:rFonts w:ascii="Trebuchet MS" w:hAnsi="Trebuchet MS"/>
                <w:sz w:val="22"/>
                <w:szCs w:val="22"/>
              </w:rPr>
              <w:t xml:space="preserve">Results </w:t>
            </w:r>
            <w:r w:rsidR="00405DA3">
              <w:rPr>
                <w:rFonts w:ascii="Trebuchet MS" w:hAnsi="Trebuchet MS"/>
                <w:sz w:val="22"/>
                <w:szCs w:val="22"/>
              </w:rPr>
              <w:t>which</w:t>
            </w:r>
            <w:r>
              <w:rPr>
                <w:rFonts w:ascii="Trebuchet MS" w:hAnsi="Trebuchet MS"/>
                <w:sz w:val="22"/>
                <w:szCs w:val="22"/>
              </w:rPr>
              <w:t xml:space="preserve"> are accurate have a mean value very close to the </w:t>
            </w:r>
            <w:r w:rsidR="00502A55">
              <w:rPr>
                <w:rFonts w:ascii="Trebuchet MS" w:hAnsi="Trebuchet MS"/>
                <w:sz w:val="22"/>
                <w:szCs w:val="22"/>
              </w:rPr>
              <w:t>correct value or a standard</w:t>
            </w:r>
            <w:r>
              <w:rPr>
                <w:rFonts w:ascii="Trebuchet MS" w:hAnsi="Trebuchet MS"/>
                <w:sz w:val="22"/>
                <w:szCs w:val="22"/>
              </w:rPr>
              <w:t>.  Accurate results may be spread over a wide range.</w:t>
            </w:r>
            <w:r w:rsidR="00502A55">
              <w:rPr>
                <w:rFonts w:ascii="Trebuchet MS" w:hAnsi="Trebuchet MS"/>
                <w:sz w:val="22"/>
                <w:szCs w:val="22"/>
              </w:rPr>
              <w:t xml:space="preserve"> A result can be accurate but not precise.</w:t>
            </w:r>
          </w:p>
        </w:tc>
      </w:tr>
      <w:tr w:rsidRPr="00A50A3E" w:rsidR="006A2BFB" w:rsidTr="00F13C83" w14:paraId="1A727B1E" w14:textId="77777777">
        <w:tc>
          <w:tcPr>
            <w:cnfStyle w:val="001000000000" w:firstRow="0" w:lastRow="0" w:firstColumn="1" w:lastColumn="0" w:oddVBand="0" w:evenVBand="0" w:oddHBand="0" w:evenHBand="0" w:firstRowFirstColumn="0" w:firstRowLastColumn="0" w:lastRowFirstColumn="0" w:lastRowLastColumn="0"/>
            <w:tcW w:w="1980" w:type="dxa"/>
          </w:tcPr>
          <w:p w:rsidR="006A2BFB" w:rsidRDefault="00E14F56" w14:paraId="5184CB0C" w14:textId="0210866A">
            <w:pPr>
              <w:rPr>
                <w:rFonts w:ascii="Trebuchet MS" w:hAnsi="Trebuchet MS"/>
                <w:sz w:val="22"/>
                <w:szCs w:val="22"/>
              </w:rPr>
            </w:pPr>
            <w:r>
              <w:rPr>
                <w:rFonts w:ascii="Trebuchet MS" w:hAnsi="Trebuchet MS"/>
                <w:sz w:val="22"/>
                <w:szCs w:val="22"/>
              </w:rPr>
              <w:t>Precision</w:t>
            </w:r>
          </w:p>
        </w:tc>
        <w:tc>
          <w:tcPr>
            <w:tcW w:w="8505" w:type="dxa"/>
          </w:tcPr>
          <w:p w:rsidRPr="00A50A3E" w:rsidR="006A2BFB" w:rsidRDefault="00405DA3" w14:paraId="6E6E59A8" w14:textId="7C0DBA25">
            <w:pPr>
              <w:cnfStyle w:val="000000000000" w:firstRow="0" w:lastRow="0" w:firstColumn="0" w:lastColumn="0" w:oddVBand="0" w:evenVBand="0" w:oddHBand="0" w:evenHBand="0" w:firstRowFirstColumn="0" w:firstRowLastColumn="0" w:lastRowFirstColumn="0" w:lastRowLastColumn="0"/>
              <w:rPr>
                <w:rFonts w:ascii="Trebuchet MS" w:hAnsi="Trebuchet MS"/>
                <w:sz w:val="22"/>
                <w:szCs w:val="22"/>
              </w:rPr>
            </w:pPr>
            <w:r>
              <w:rPr>
                <w:rFonts w:ascii="Trebuchet MS" w:hAnsi="Trebuchet MS"/>
                <w:sz w:val="22"/>
                <w:szCs w:val="22"/>
              </w:rPr>
              <w:t>Results which are p</w:t>
            </w:r>
            <w:r w:rsidR="00BA1FDA">
              <w:rPr>
                <w:rFonts w:ascii="Trebuchet MS" w:hAnsi="Trebuchet MS"/>
                <w:sz w:val="22"/>
                <w:szCs w:val="22"/>
              </w:rPr>
              <w:t>recise</w:t>
            </w:r>
            <w:r>
              <w:rPr>
                <w:rFonts w:ascii="Trebuchet MS" w:hAnsi="Trebuchet MS"/>
                <w:sz w:val="22"/>
                <w:szCs w:val="22"/>
              </w:rPr>
              <w:t xml:space="preserve"> will be spread over a very small range.  This does not mean they will be close to the real value.  A result can be precise but not accurate!</w:t>
            </w:r>
          </w:p>
        </w:tc>
      </w:tr>
      <w:tr w:rsidRPr="00A50A3E" w:rsidR="006A2BFB" w:rsidTr="00F13C83" w14:paraId="53D7C27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6A2BFB" w:rsidRDefault="00E14F56" w14:paraId="3E4AE382" w14:textId="611A9F04">
            <w:pPr>
              <w:rPr>
                <w:rFonts w:ascii="Trebuchet MS" w:hAnsi="Trebuchet MS"/>
                <w:sz w:val="22"/>
                <w:szCs w:val="22"/>
              </w:rPr>
            </w:pPr>
            <w:r>
              <w:rPr>
                <w:rFonts w:ascii="Trebuchet MS" w:hAnsi="Trebuchet MS"/>
                <w:sz w:val="22"/>
                <w:szCs w:val="22"/>
              </w:rPr>
              <w:t>SI Units</w:t>
            </w:r>
          </w:p>
        </w:tc>
        <w:tc>
          <w:tcPr>
            <w:tcW w:w="8505" w:type="dxa"/>
          </w:tcPr>
          <w:p w:rsidRPr="00A50A3E" w:rsidR="00F55C5E" w:rsidRDefault="00F22C18" w14:paraId="5A06D9A0" w14:textId="3605A837">
            <w:pPr>
              <w:cnfStyle w:val="000000100000" w:firstRow="0" w:lastRow="0" w:firstColumn="0" w:lastColumn="0" w:oddVBand="0" w:evenVBand="0" w:oddHBand="1" w:evenHBand="0" w:firstRowFirstColumn="0" w:firstRowLastColumn="0" w:lastRowFirstColumn="0" w:lastRowLastColumn="0"/>
              <w:rPr>
                <w:rFonts w:ascii="Trebuchet MS" w:hAnsi="Trebuchet MS"/>
                <w:sz w:val="22"/>
                <w:szCs w:val="22"/>
              </w:rPr>
            </w:pPr>
            <w:r>
              <w:rPr>
                <w:rFonts w:ascii="Trebuchet MS" w:hAnsi="Trebuchet MS"/>
                <w:sz w:val="22"/>
                <w:szCs w:val="22"/>
              </w:rPr>
              <w:t xml:space="preserve">The International System of Units (SI) states the </w:t>
            </w:r>
            <w:r w:rsidR="00C55E43">
              <w:rPr>
                <w:rFonts w:ascii="Trebuchet MS" w:hAnsi="Trebuchet MS"/>
                <w:sz w:val="22"/>
                <w:szCs w:val="22"/>
              </w:rPr>
              <w:t>7</w:t>
            </w:r>
            <w:r w:rsidR="00CD7A4F">
              <w:rPr>
                <w:rFonts w:ascii="Trebuchet MS" w:hAnsi="Trebuchet MS"/>
                <w:sz w:val="22"/>
                <w:szCs w:val="22"/>
              </w:rPr>
              <w:t xml:space="preserve"> </w:t>
            </w:r>
            <w:r>
              <w:rPr>
                <w:rFonts w:ascii="Trebuchet MS" w:hAnsi="Trebuchet MS"/>
                <w:sz w:val="22"/>
                <w:szCs w:val="22"/>
              </w:rPr>
              <w:t>base units that must be used in all calculations.</w:t>
            </w:r>
            <w:r w:rsidR="00F55C5E">
              <w:rPr>
                <w:rFonts w:ascii="Trebuchet MS" w:hAnsi="Trebuchet MS"/>
                <w:sz w:val="22"/>
                <w:szCs w:val="22"/>
              </w:rPr>
              <w:t xml:space="preserve"> These are</w:t>
            </w:r>
            <w:r w:rsidR="00C55E43">
              <w:rPr>
                <w:rFonts w:ascii="Trebuchet MS" w:hAnsi="Trebuchet MS"/>
                <w:sz w:val="22"/>
                <w:szCs w:val="22"/>
              </w:rPr>
              <w:t xml:space="preserve">:  </w:t>
            </w:r>
            <w:r w:rsidR="00436FCC">
              <w:rPr>
                <w:rFonts w:ascii="Trebuchet MS" w:hAnsi="Trebuchet MS"/>
                <w:sz w:val="22"/>
                <w:szCs w:val="22"/>
              </w:rPr>
              <w:t>s</w:t>
            </w:r>
            <w:r w:rsidR="00CD7A4F">
              <w:rPr>
                <w:rFonts w:ascii="Trebuchet MS" w:hAnsi="Trebuchet MS"/>
                <w:sz w:val="22"/>
                <w:szCs w:val="22"/>
              </w:rPr>
              <w:t>econd (time)</w:t>
            </w:r>
            <w:r w:rsidR="00C55E43">
              <w:rPr>
                <w:rFonts w:ascii="Trebuchet MS" w:hAnsi="Trebuchet MS"/>
                <w:sz w:val="22"/>
                <w:szCs w:val="22"/>
              </w:rPr>
              <w:t xml:space="preserve">, </w:t>
            </w:r>
            <w:r w:rsidR="00436FCC">
              <w:rPr>
                <w:rFonts w:ascii="Trebuchet MS" w:hAnsi="Trebuchet MS"/>
                <w:sz w:val="22"/>
                <w:szCs w:val="22"/>
              </w:rPr>
              <w:t>m</w:t>
            </w:r>
            <w:r w:rsidR="000C7AD4">
              <w:rPr>
                <w:rFonts w:ascii="Trebuchet MS" w:hAnsi="Trebuchet MS"/>
                <w:sz w:val="22"/>
                <w:szCs w:val="22"/>
              </w:rPr>
              <w:t>etre</w:t>
            </w:r>
            <w:r w:rsidR="00CD7A4F">
              <w:rPr>
                <w:rFonts w:ascii="Trebuchet MS" w:hAnsi="Trebuchet MS"/>
                <w:sz w:val="22"/>
                <w:szCs w:val="22"/>
              </w:rPr>
              <w:t xml:space="preserve"> (distance)</w:t>
            </w:r>
            <w:r w:rsidR="00C55E43">
              <w:rPr>
                <w:rFonts w:ascii="Trebuchet MS" w:hAnsi="Trebuchet MS"/>
                <w:sz w:val="22"/>
                <w:szCs w:val="22"/>
              </w:rPr>
              <w:t xml:space="preserve">, </w:t>
            </w:r>
            <w:r w:rsidR="00436FCC">
              <w:rPr>
                <w:rFonts w:ascii="Trebuchet MS" w:hAnsi="Trebuchet MS"/>
                <w:sz w:val="22"/>
                <w:szCs w:val="22"/>
              </w:rPr>
              <w:t>k</w:t>
            </w:r>
            <w:r w:rsidR="00CD7A4F">
              <w:rPr>
                <w:rFonts w:ascii="Trebuchet MS" w:hAnsi="Trebuchet MS"/>
                <w:sz w:val="22"/>
                <w:szCs w:val="22"/>
              </w:rPr>
              <w:t>ilogram (mass)</w:t>
            </w:r>
            <w:r w:rsidR="00C55E43">
              <w:rPr>
                <w:rFonts w:ascii="Trebuchet MS" w:hAnsi="Trebuchet MS"/>
                <w:sz w:val="22"/>
                <w:szCs w:val="22"/>
              </w:rPr>
              <w:t xml:space="preserve">, </w:t>
            </w:r>
            <w:r w:rsidR="00436FCC">
              <w:rPr>
                <w:rFonts w:ascii="Trebuchet MS" w:hAnsi="Trebuchet MS"/>
                <w:sz w:val="22"/>
                <w:szCs w:val="22"/>
              </w:rPr>
              <w:t>a</w:t>
            </w:r>
            <w:r w:rsidR="00CD7A4F">
              <w:rPr>
                <w:rFonts w:ascii="Trebuchet MS" w:hAnsi="Trebuchet MS"/>
                <w:sz w:val="22"/>
                <w:szCs w:val="22"/>
              </w:rPr>
              <w:t>mpere (current)</w:t>
            </w:r>
            <w:r w:rsidR="00C55E43">
              <w:rPr>
                <w:rFonts w:ascii="Trebuchet MS" w:hAnsi="Trebuchet MS"/>
                <w:sz w:val="22"/>
                <w:szCs w:val="22"/>
              </w:rPr>
              <w:t>, Kelvin</w:t>
            </w:r>
            <w:r w:rsidR="00CD7A4F">
              <w:rPr>
                <w:rFonts w:ascii="Trebuchet MS" w:hAnsi="Trebuchet MS"/>
                <w:sz w:val="22"/>
                <w:szCs w:val="22"/>
              </w:rPr>
              <w:t xml:space="preserve"> (</w:t>
            </w:r>
            <w:r w:rsidR="00EA18EE">
              <w:rPr>
                <w:rFonts w:ascii="Trebuchet MS" w:hAnsi="Trebuchet MS"/>
                <w:sz w:val="22"/>
                <w:szCs w:val="22"/>
              </w:rPr>
              <w:t>temperature</w:t>
            </w:r>
            <w:r w:rsidR="00CD7A4F">
              <w:rPr>
                <w:rFonts w:ascii="Trebuchet MS" w:hAnsi="Trebuchet MS"/>
                <w:sz w:val="22"/>
                <w:szCs w:val="22"/>
              </w:rPr>
              <w:t>)</w:t>
            </w:r>
            <w:r w:rsidR="00C55E43">
              <w:rPr>
                <w:rFonts w:ascii="Trebuchet MS" w:hAnsi="Trebuchet MS"/>
                <w:sz w:val="22"/>
                <w:szCs w:val="22"/>
              </w:rPr>
              <w:t xml:space="preserve">, </w:t>
            </w:r>
            <w:r w:rsidR="00436FCC">
              <w:rPr>
                <w:rFonts w:ascii="Trebuchet MS" w:hAnsi="Trebuchet MS"/>
                <w:sz w:val="22"/>
                <w:szCs w:val="22"/>
              </w:rPr>
              <w:t>m</w:t>
            </w:r>
            <w:r w:rsidR="00C55E43">
              <w:rPr>
                <w:rFonts w:ascii="Trebuchet MS" w:hAnsi="Trebuchet MS"/>
                <w:sz w:val="22"/>
                <w:szCs w:val="22"/>
              </w:rPr>
              <w:t>ole</w:t>
            </w:r>
            <w:r w:rsidR="00CD7A4F">
              <w:rPr>
                <w:rFonts w:ascii="Trebuchet MS" w:hAnsi="Trebuchet MS"/>
                <w:sz w:val="22"/>
                <w:szCs w:val="22"/>
              </w:rPr>
              <w:t xml:space="preserve"> (</w:t>
            </w:r>
            <w:r w:rsidR="00EA18EE">
              <w:rPr>
                <w:rFonts w:ascii="Trebuchet MS" w:hAnsi="Trebuchet MS"/>
                <w:sz w:val="22"/>
                <w:szCs w:val="22"/>
              </w:rPr>
              <w:t>amount of a substance)</w:t>
            </w:r>
            <w:r w:rsidR="00CD7A4F">
              <w:rPr>
                <w:rFonts w:ascii="Trebuchet MS" w:hAnsi="Trebuchet MS"/>
                <w:sz w:val="22"/>
                <w:szCs w:val="22"/>
              </w:rPr>
              <w:t xml:space="preserve">, and </w:t>
            </w:r>
            <w:r w:rsidR="00E33C4D">
              <w:rPr>
                <w:rFonts w:ascii="Trebuchet MS" w:hAnsi="Trebuchet MS"/>
                <w:sz w:val="22"/>
                <w:szCs w:val="22"/>
              </w:rPr>
              <w:t>c</w:t>
            </w:r>
            <w:r w:rsidR="00CD7A4F">
              <w:rPr>
                <w:rFonts w:ascii="Trebuchet MS" w:hAnsi="Trebuchet MS"/>
                <w:sz w:val="22"/>
                <w:szCs w:val="22"/>
              </w:rPr>
              <w:t>andela</w:t>
            </w:r>
            <w:r w:rsidR="00EA18EE">
              <w:rPr>
                <w:rFonts w:ascii="Trebuchet MS" w:hAnsi="Trebuchet MS"/>
                <w:sz w:val="22"/>
                <w:szCs w:val="22"/>
              </w:rPr>
              <w:t xml:space="preserve"> (light intensity).  All other units are derived from these 7.</w:t>
            </w:r>
            <w:r>
              <w:rPr>
                <w:rFonts w:ascii="Trebuchet MS" w:hAnsi="Trebuchet MS"/>
                <w:sz w:val="22"/>
                <w:szCs w:val="22"/>
              </w:rPr>
              <w:t xml:space="preserve"> </w:t>
            </w:r>
            <w:hyperlink w:history="1" r:id="rId7">
              <w:r w:rsidRPr="00F55C5E" w:rsidR="00F55C5E">
                <w:rPr>
                  <w:rStyle w:val="Hyperlink"/>
                  <w:rFonts w:ascii="Trebuchet MS" w:hAnsi="Trebuchet MS"/>
                  <w:color w:val="AD84C6" w:themeColor="accent1"/>
                  <w:sz w:val="22"/>
                  <w:szCs w:val="22"/>
                </w:rPr>
                <w:t>https://www.npl.co.uk/si-units</w:t>
              </w:r>
            </w:hyperlink>
          </w:p>
        </w:tc>
      </w:tr>
      <w:tr w:rsidRPr="00A50A3E" w:rsidR="006A2BFB" w:rsidTr="00F13C83" w14:paraId="12CBA1DE" w14:textId="77777777">
        <w:tc>
          <w:tcPr>
            <w:cnfStyle w:val="001000000000" w:firstRow="0" w:lastRow="0" w:firstColumn="1" w:lastColumn="0" w:oddVBand="0" w:evenVBand="0" w:oddHBand="0" w:evenHBand="0" w:firstRowFirstColumn="0" w:firstRowLastColumn="0" w:lastRowFirstColumn="0" w:lastRowLastColumn="0"/>
            <w:tcW w:w="1980" w:type="dxa"/>
          </w:tcPr>
          <w:p w:rsidR="006A2BFB" w:rsidRDefault="00E14F56" w14:paraId="2E54055E" w14:textId="099549D5">
            <w:pPr>
              <w:rPr>
                <w:rFonts w:ascii="Trebuchet MS" w:hAnsi="Trebuchet MS"/>
                <w:sz w:val="22"/>
                <w:szCs w:val="22"/>
              </w:rPr>
            </w:pPr>
            <w:r>
              <w:rPr>
                <w:rFonts w:ascii="Trebuchet MS" w:hAnsi="Trebuchet MS"/>
                <w:sz w:val="22"/>
                <w:szCs w:val="22"/>
              </w:rPr>
              <w:t>Mean</w:t>
            </w:r>
            <w:r w:rsidR="00E33C4D">
              <w:rPr>
                <w:rFonts w:ascii="Trebuchet MS" w:hAnsi="Trebuchet MS"/>
                <w:sz w:val="22"/>
                <w:szCs w:val="22"/>
              </w:rPr>
              <w:t xml:space="preserve"> average</w:t>
            </w:r>
          </w:p>
        </w:tc>
        <w:tc>
          <w:tcPr>
            <w:tcW w:w="8505" w:type="dxa"/>
          </w:tcPr>
          <w:p w:rsidRPr="00A50A3E" w:rsidR="006A2BFB" w:rsidRDefault="00C12893" w14:paraId="685EAACE" w14:textId="53C0A847">
            <w:pPr>
              <w:cnfStyle w:val="000000000000" w:firstRow="0" w:lastRow="0" w:firstColumn="0" w:lastColumn="0" w:oddVBand="0" w:evenVBand="0" w:oddHBand="0" w:evenHBand="0" w:firstRowFirstColumn="0" w:firstRowLastColumn="0" w:lastRowFirstColumn="0" w:lastRowLastColumn="0"/>
              <w:rPr>
                <w:rFonts w:ascii="Trebuchet MS" w:hAnsi="Trebuchet MS"/>
                <w:sz w:val="22"/>
                <w:szCs w:val="22"/>
              </w:rPr>
            </w:pPr>
            <w:r>
              <w:rPr>
                <w:rFonts w:ascii="Trebuchet MS" w:hAnsi="Trebuchet MS"/>
                <w:sz w:val="22"/>
                <w:szCs w:val="22"/>
              </w:rPr>
              <w:t>Mean is the type of average used in physics</w:t>
            </w:r>
            <w:r w:rsidR="003B600C">
              <w:rPr>
                <w:rFonts w:ascii="Trebuchet MS" w:hAnsi="Trebuchet MS"/>
                <w:sz w:val="22"/>
                <w:szCs w:val="22"/>
              </w:rPr>
              <w:t xml:space="preserve"> and equals the sum of the results/ no. of observations. </w:t>
            </w:r>
            <w:r w:rsidR="005A289C">
              <w:rPr>
                <w:rFonts w:ascii="Trebuchet MS" w:hAnsi="Trebuchet MS"/>
                <w:sz w:val="22"/>
                <w:szCs w:val="22"/>
              </w:rPr>
              <w:t xml:space="preserve">The </w:t>
            </w:r>
            <w:r w:rsidRPr="005A289C" w:rsidR="005A289C">
              <w:rPr>
                <w:rFonts w:ascii="Trebuchet MS" w:hAnsi="Trebuchet MS"/>
                <w:sz w:val="22"/>
                <w:szCs w:val="22"/>
              </w:rPr>
              <w:t xml:space="preserve">mean </w:t>
            </w:r>
            <w:r w:rsidR="005A289C">
              <w:rPr>
                <w:rFonts w:ascii="Trebuchet MS" w:hAnsi="Trebuchet MS"/>
                <w:sz w:val="22"/>
                <w:szCs w:val="22"/>
              </w:rPr>
              <w:t xml:space="preserve">average </w:t>
            </w:r>
            <w:r w:rsidRPr="005A289C" w:rsidR="005A289C">
              <w:rPr>
                <w:rFonts w:ascii="Trebuchet MS" w:hAnsi="Trebuchet MS"/>
                <w:sz w:val="22"/>
                <w:szCs w:val="22"/>
              </w:rPr>
              <w:t xml:space="preserve">is the best estimate of the 'true' value of the quantity being measured </w:t>
            </w:r>
            <w:r w:rsidR="00805FB6">
              <w:rPr>
                <w:rFonts w:ascii="Trebuchet MS" w:hAnsi="Trebuchet MS"/>
                <w:sz w:val="22"/>
                <w:szCs w:val="22"/>
              </w:rPr>
              <w:t>i</w:t>
            </w:r>
            <w:r w:rsidR="003B600C">
              <w:rPr>
                <w:rFonts w:ascii="Trebuchet MS" w:hAnsi="Trebuchet MS"/>
                <w:sz w:val="22"/>
                <w:szCs w:val="22"/>
              </w:rPr>
              <w:t>n an experiments</w:t>
            </w:r>
            <w:r w:rsidR="00202953">
              <w:rPr>
                <w:rFonts w:ascii="Trebuchet MS" w:hAnsi="Trebuchet MS"/>
                <w:sz w:val="22"/>
                <w:szCs w:val="22"/>
              </w:rPr>
              <w:t>. E</w:t>
            </w:r>
            <w:r w:rsidR="003B600C">
              <w:rPr>
                <w:rFonts w:ascii="Trebuchet MS" w:hAnsi="Trebuchet MS"/>
                <w:sz w:val="22"/>
                <w:szCs w:val="22"/>
              </w:rPr>
              <w:t>ach measurement should be taken a number of times and a</w:t>
            </w:r>
            <w:r>
              <w:rPr>
                <w:rFonts w:ascii="Trebuchet MS" w:hAnsi="Trebuchet MS"/>
                <w:sz w:val="22"/>
                <w:szCs w:val="22"/>
              </w:rPr>
              <w:t xml:space="preserve"> mean </w:t>
            </w:r>
            <w:r w:rsidR="003B600C">
              <w:rPr>
                <w:rFonts w:ascii="Trebuchet MS" w:hAnsi="Trebuchet MS"/>
                <w:sz w:val="22"/>
                <w:szCs w:val="22"/>
              </w:rPr>
              <w:t>average</w:t>
            </w:r>
            <w:r>
              <w:rPr>
                <w:rFonts w:ascii="Trebuchet MS" w:hAnsi="Trebuchet MS"/>
                <w:sz w:val="22"/>
                <w:szCs w:val="22"/>
              </w:rPr>
              <w:t xml:space="preserve"> found.</w:t>
            </w:r>
          </w:p>
        </w:tc>
      </w:tr>
      <w:tr w:rsidRPr="00A50A3E" w:rsidR="006A2BFB" w:rsidTr="00F13C83" w14:paraId="69545A3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6A2BFB" w:rsidRDefault="00341B81" w14:paraId="217CA307" w14:textId="5C818E2A">
            <w:pPr>
              <w:rPr>
                <w:rFonts w:ascii="Trebuchet MS" w:hAnsi="Trebuchet MS"/>
                <w:sz w:val="22"/>
                <w:szCs w:val="22"/>
              </w:rPr>
            </w:pPr>
            <w:r>
              <w:rPr>
                <w:rFonts w:ascii="Trebuchet MS" w:hAnsi="Trebuchet MS"/>
                <w:sz w:val="22"/>
                <w:szCs w:val="22"/>
              </w:rPr>
              <w:t>Random</w:t>
            </w:r>
            <w:r w:rsidR="005A289C">
              <w:rPr>
                <w:rFonts w:ascii="Trebuchet MS" w:hAnsi="Trebuchet MS"/>
                <w:sz w:val="22"/>
                <w:szCs w:val="22"/>
              </w:rPr>
              <w:t xml:space="preserve"> Uncertainties</w:t>
            </w:r>
          </w:p>
        </w:tc>
        <w:tc>
          <w:tcPr>
            <w:tcW w:w="8505" w:type="dxa"/>
          </w:tcPr>
          <w:p w:rsidRPr="00A50A3E" w:rsidR="006A2BFB" w:rsidRDefault="00ED5BCE" w14:paraId="45870EEC" w14:textId="7638B66D">
            <w:pPr>
              <w:cnfStyle w:val="000000100000" w:firstRow="0" w:lastRow="0" w:firstColumn="0" w:lastColumn="0" w:oddVBand="0" w:evenVBand="0" w:oddHBand="1" w:evenHBand="0" w:firstRowFirstColumn="0" w:firstRowLastColumn="0" w:lastRowFirstColumn="0" w:lastRowLastColumn="0"/>
              <w:rPr>
                <w:rFonts w:ascii="Trebuchet MS" w:hAnsi="Trebuchet MS"/>
                <w:sz w:val="22"/>
                <w:szCs w:val="22"/>
              </w:rPr>
            </w:pPr>
            <w:r w:rsidRPr="00ED5BCE">
              <w:rPr>
                <w:rFonts w:ascii="Trebuchet MS" w:hAnsi="Trebuchet MS"/>
                <w:sz w:val="22"/>
                <w:szCs w:val="22"/>
              </w:rPr>
              <w:t xml:space="preserve">Random uncertainties occur when an experiment is repeated and slight variations occur. </w:t>
            </w:r>
            <w:r w:rsidR="00C101EA">
              <w:rPr>
                <w:rFonts w:ascii="Trebuchet MS" w:hAnsi="Trebuchet MS"/>
                <w:sz w:val="22"/>
                <w:szCs w:val="22"/>
              </w:rPr>
              <w:t xml:space="preserve">Random uncertainties are present in every experiment. </w:t>
            </w:r>
            <w:r w:rsidRPr="00A55974" w:rsidR="00A55974">
              <w:rPr>
                <w:rFonts w:ascii="Trebuchet MS" w:hAnsi="Trebuchet MS"/>
                <w:sz w:val="22"/>
                <w:szCs w:val="22"/>
              </w:rPr>
              <w:t>Random uncertainties can be reduced by taking repeated measurements.</w:t>
            </w:r>
            <w:r w:rsidR="00C101EA">
              <w:rPr>
                <w:rFonts w:ascii="Trebuchet MS" w:hAnsi="Trebuchet MS"/>
                <w:sz w:val="22"/>
                <w:szCs w:val="22"/>
              </w:rPr>
              <w:t xml:space="preserve"> This is the reason we MUST repeat all measurements.</w:t>
            </w:r>
          </w:p>
        </w:tc>
      </w:tr>
      <w:tr w:rsidRPr="00A50A3E" w:rsidR="00805FB6" w:rsidTr="00F13C83" w14:paraId="6CD3B5C6" w14:textId="77777777">
        <w:tc>
          <w:tcPr>
            <w:cnfStyle w:val="001000000000" w:firstRow="0" w:lastRow="0" w:firstColumn="1" w:lastColumn="0" w:oddVBand="0" w:evenVBand="0" w:oddHBand="0" w:evenHBand="0" w:firstRowFirstColumn="0" w:firstRowLastColumn="0" w:lastRowFirstColumn="0" w:lastRowLastColumn="0"/>
            <w:tcW w:w="1980" w:type="dxa"/>
          </w:tcPr>
          <w:p w:rsidR="00805FB6" w:rsidRDefault="00805FB6" w14:paraId="498CD199" w14:textId="19F4E1EB">
            <w:pPr>
              <w:rPr>
                <w:rFonts w:ascii="Trebuchet MS" w:hAnsi="Trebuchet MS"/>
                <w:sz w:val="22"/>
                <w:szCs w:val="22"/>
              </w:rPr>
            </w:pPr>
            <w:r>
              <w:rPr>
                <w:rFonts w:ascii="Trebuchet MS" w:hAnsi="Trebuchet MS"/>
                <w:sz w:val="22"/>
                <w:szCs w:val="22"/>
              </w:rPr>
              <w:t>Why repeat measurements?</w:t>
            </w:r>
          </w:p>
        </w:tc>
        <w:tc>
          <w:tcPr>
            <w:tcW w:w="8505" w:type="dxa"/>
          </w:tcPr>
          <w:p w:rsidRPr="00ED5BCE" w:rsidR="00805FB6" w:rsidRDefault="00805FB6" w14:paraId="3A51BD30" w14:textId="74DDAFD3">
            <w:pPr>
              <w:cnfStyle w:val="000000000000" w:firstRow="0" w:lastRow="0" w:firstColumn="0" w:lastColumn="0" w:oddVBand="0" w:evenVBand="0" w:oddHBand="0" w:evenHBand="0" w:firstRowFirstColumn="0" w:firstRowLastColumn="0" w:lastRowFirstColumn="0" w:lastRowLastColumn="0"/>
              <w:rPr>
                <w:rFonts w:ascii="Trebuchet MS" w:hAnsi="Trebuchet MS"/>
                <w:sz w:val="22"/>
                <w:szCs w:val="22"/>
              </w:rPr>
            </w:pPr>
            <w:r w:rsidRPr="00805FB6">
              <w:rPr>
                <w:rFonts w:ascii="Trebuchet MS" w:hAnsi="Trebuchet MS"/>
                <w:sz w:val="22"/>
                <w:szCs w:val="22"/>
              </w:rPr>
              <w:t xml:space="preserve">Truly random fluctuations </w:t>
            </w:r>
            <w:r>
              <w:rPr>
                <w:rFonts w:ascii="Trebuchet MS" w:hAnsi="Trebuchet MS"/>
                <w:sz w:val="22"/>
                <w:szCs w:val="22"/>
              </w:rPr>
              <w:t xml:space="preserve">in measurements </w:t>
            </w:r>
            <w:r w:rsidRPr="00805FB6">
              <w:rPr>
                <w:rFonts w:ascii="Trebuchet MS" w:hAnsi="Trebuchet MS"/>
                <w:sz w:val="22"/>
                <w:szCs w:val="22"/>
              </w:rPr>
              <w:t>average to zero, and so the way to remove them is to average a large number of measurements,</w:t>
            </w:r>
          </w:p>
        </w:tc>
      </w:tr>
      <w:tr w:rsidRPr="00A50A3E" w:rsidR="006A2BFB" w:rsidTr="00F13C83" w14:paraId="21CBE54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6A2BFB" w:rsidRDefault="00341B81" w14:paraId="42F789BD" w14:textId="44E390E8">
            <w:pPr>
              <w:rPr>
                <w:rFonts w:ascii="Trebuchet MS" w:hAnsi="Trebuchet MS"/>
                <w:sz w:val="22"/>
                <w:szCs w:val="22"/>
              </w:rPr>
            </w:pPr>
            <w:r>
              <w:rPr>
                <w:rFonts w:ascii="Trebuchet MS" w:hAnsi="Trebuchet MS"/>
                <w:sz w:val="22"/>
                <w:szCs w:val="22"/>
              </w:rPr>
              <w:t>Scale Reading</w:t>
            </w:r>
            <w:r w:rsidR="005A289C">
              <w:rPr>
                <w:rFonts w:ascii="Trebuchet MS" w:hAnsi="Trebuchet MS"/>
                <w:sz w:val="22"/>
                <w:szCs w:val="22"/>
              </w:rPr>
              <w:t xml:space="preserve"> Uncertainties</w:t>
            </w:r>
          </w:p>
        </w:tc>
        <w:tc>
          <w:tcPr>
            <w:tcW w:w="8505" w:type="dxa"/>
          </w:tcPr>
          <w:p w:rsidRPr="00A50A3E" w:rsidR="006A2BFB" w:rsidRDefault="005A289C" w14:paraId="2D6BF612" w14:textId="5197E3E7">
            <w:pPr>
              <w:cnfStyle w:val="000000100000" w:firstRow="0" w:lastRow="0" w:firstColumn="0" w:lastColumn="0" w:oddVBand="0" w:evenVBand="0" w:oddHBand="1" w:evenHBand="0" w:firstRowFirstColumn="0" w:firstRowLastColumn="0" w:lastRowFirstColumn="0" w:lastRowLastColumn="0"/>
              <w:rPr>
                <w:rFonts w:ascii="Trebuchet MS" w:hAnsi="Trebuchet MS"/>
                <w:sz w:val="22"/>
                <w:szCs w:val="22"/>
              </w:rPr>
            </w:pPr>
            <w:r>
              <w:rPr>
                <w:sz w:val="22"/>
                <w:szCs w:val="22"/>
              </w:rPr>
              <w:t>T</w:t>
            </w:r>
            <w:r w:rsidRPr="00CF6E2F">
              <w:rPr>
                <w:sz w:val="22"/>
                <w:szCs w:val="22"/>
              </w:rPr>
              <w:t>he scale-reading uncertainty is a measure of how well an instrument can be read.</w:t>
            </w:r>
            <w:r w:rsidR="00514DDB">
              <w:rPr>
                <w:rFonts w:ascii="Trebuchet MS" w:hAnsi="Trebuchet MS"/>
                <w:sz w:val="22"/>
                <w:szCs w:val="22"/>
              </w:rPr>
              <w:t xml:space="preserve">  These are never completely precise. </w:t>
            </w:r>
          </w:p>
        </w:tc>
      </w:tr>
      <w:tr w:rsidRPr="00A50A3E" w:rsidR="006A2BFB" w:rsidTr="00F13C83" w14:paraId="1B07672C" w14:textId="77777777">
        <w:tc>
          <w:tcPr>
            <w:cnfStyle w:val="001000000000" w:firstRow="0" w:lastRow="0" w:firstColumn="1" w:lastColumn="0" w:oddVBand="0" w:evenVBand="0" w:oddHBand="0" w:evenHBand="0" w:firstRowFirstColumn="0" w:firstRowLastColumn="0" w:lastRowFirstColumn="0" w:lastRowLastColumn="0"/>
            <w:tcW w:w="1980" w:type="dxa"/>
          </w:tcPr>
          <w:p w:rsidR="006A2BFB" w:rsidRDefault="005841A1" w14:paraId="27F249B5" w14:textId="23218861">
            <w:pPr>
              <w:rPr>
                <w:rFonts w:ascii="Trebuchet MS" w:hAnsi="Trebuchet MS"/>
                <w:sz w:val="22"/>
                <w:szCs w:val="22"/>
              </w:rPr>
            </w:pPr>
            <w:r>
              <w:rPr>
                <w:rFonts w:ascii="Trebuchet MS" w:hAnsi="Trebuchet MS"/>
                <w:sz w:val="22"/>
                <w:szCs w:val="22"/>
              </w:rPr>
              <w:t xml:space="preserve">Scale reading uncertainty in </w:t>
            </w:r>
            <w:r w:rsidR="00FC049E">
              <w:rPr>
                <w:rFonts w:ascii="Trebuchet MS" w:hAnsi="Trebuchet MS"/>
                <w:sz w:val="22"/>
                <w:szCs w:val="22"/>
              </w:rPr>
              <w:t>Digital</w:t>
            </w:r>
            <w:r w:rsidR="005A289C">
              <w:rPr>
                <w:rFonts w:ascii="Trebuchet MS" w:hAnsi="Trebuchet MS"/>
                <w:sz w:val="22"/>
                <w:szCs w:val="22"/>
              </w:rPr>
              <w:t xml:space="preserve"> Device</w:t>
            </w:r>
          </w:p>
        </w:tc>
        <w:tc>
          <w:tcPr>
            <w:tcW w:w="8505" w:type="dxa"/>
          </w:tcPr>
          <w:p w:rsidRPr="00A50A3E" w:rsidR="006A2BFB" w:rsidRDefault="00514DDB" w14:paraId="150279CD" w14:textId="7F4AC4C2">
            <w:pPr>
              <w:cnfStyle w:val="000000000000" w:firstRow="0" w:lastRow="0" w:firstColumn="0" w:lastColumn="0" w:oddVBand="0" w:evenVBand="0" w:oddHBand="0" w:evenHBand="0" w:firstRowFirstColumn="0" w:firstRowLastColumn="0" w:lastRowFirstColumn="0" w:lastRowLastColumn="0"/>
              <w:rPr>
                <w:rFonts w:ascii="Trebuchet MS" w:hAnsi="Trebuchet MS"/>
                <w:sz w:val="22"/>
                <w:szCs w:val="22"/>
              </w:rPr>
            </w:pPr>
            <w:r>
              <w:rPr>
                <w:rFonts w:ascii="Trebuchet MS" w:hAnsi="Trebuchet MS"/>
                <w:sz w:val="22"/>
                <w:szCs w:val="22"/>
              </w:rPr>
              <w:t xml:space="preserve">The uncertainty in a digital scale (such as an electronic balance) can be </w:t>
            </w:r>
            <w:r w:rsidR="00C438D6">
              <w:rPr>
                <w:rFonts w:ascii="Trebuchet MS" w:hAnsi="Trebuchet MS"/>
                <w:sz w:val="22"/>
                <w:szCs w:val="22"/>
              </w:rPr>
              <w:t>taken</w:t>
            </w:r>
            <w:r>
              <w:rPr>
                <w:rFonts w:ascii="Trebuchet MS" w:hAnsi="Trebuchet MS"/>
                <w:sz w:val="22"/>
                <w:szCs w:val="22"/>
              </w:rPr>
              <w:t xml:space="preserve"> as </w:t>
            </w:r>
            <w:r w:rsidR="00781ADD">
              <w:rPr>
                <w:rFonts w:ascii="Symbol" w:hAnsi="Symbol" w:eastAsia="Symbol" w:cs="Symbol"/>
                <w:sz w:val="22"/>
                <w:szCs w:val="22"/>
              </w:rPr>
              <w:t>±</w:t>
            </w:r>
            <w:r>
              <w:rPr>
                <w:rFonts w:ascii="Trebuchet MS" w:hAnsi="Trebuchet MS"/>
                <w:sz w:val="22"/>
                <w:szCs w:val="22"/>
              </w:rPr>
              <w:t xml:space="preserve">1 </w:t>
            </w:r>
            <w:r w:rsidR="00781ADD">
              <w:rPr>
                <w:rFonts w:ascii="Trebuchet MS" w:hAnsi="Trebuchet MS"/>
                <w:sz w:val="22"/>
                <w:szCs w:val="22"/>
              </w:rPr>
              <w:t xml:space="preserve">in the </w:t>
            </w:r>
            <w:r w:rsidR="001B213F">
              <w:rPr>
                <w:rFonts w:ascii="Trebuchet MS" w:hAnsi="Trebuchet MS"/>
                <w:sz w:val="22"/>
                <w:szCs w:val="22"/>
              </w:rPr>
              <w:t>smallest significant figure displayed.</w:t>
            </w:r>
          </w:p>
        </w:tc>
      </w:tr>
      <w:tr w:rsidRPr="00A50A3E" w:rsidR="001B213F" w:rsidTr="00F13C83" w14:paraId="5FB4DB5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1B213F" w:rsidP="001B213F" w:rsidRDefault="005841A1" w14:paraId="7F16F92C" w14:textId="5206603B">
            <w:pPr>
              <w:rPr>
                <w:rFonts w:ascii="Trebuchet MS" w:hAnsi="Trebuchet MS"/>
                <w:sz w:val="22"/>
                <w:szCs w:val="22"/>
              </w:rPr>
            </w:pPr>
            <w:r>
              <w:rPr>
                <w:rFonts w:ascii="Trebuchet MS" w:hAnsi="Trebuchet MS"/>
                <w:sz w:val="22"/>
                <w:szCs w:val="22"/>
              </w:rPr>
              <w:t xml:space="preserve">Scale reading uncertainty in </w:t>
            </w:r>
            <w:r w:rsidR="001B213F">
              <w:rPr>
                <w:rFonts w:ascii="Trebuchet MS" w:hAnsi="Trebuchet MS"/>
                <w:sz w:val="22"/>
                <w:szCs w:val="22"/>
              </w:rPr>
              <w:t>Analogue</w:t>
            </w:r>
            <w:r w:rsidR="005A289C">
              <w:rPr>
                <w:rFonts w:ascii="Trebuchet MS" w:hAnsi="Trebuchet MS"/>
                <w:sz w:val="22"/>
                <w:szCs w:val="22"/>
              </w:rPr>
              <w:t xml:space="preserve"> Device</w:t>
            </w:r>
          </w:p>
        </w:tc>
        <w:tc>
          <w:tcPr>
            <w:tcW w:w="8505" w:type="dxa"/>
          </w:tcPr>
          <w:p w:rsidRPr="00A50A3E" w:rsidR="001B213F" w:rsidP="001B213F" w:rsidRDefault="001B213F" w14:paraId="2F620DB6" w14:textId="3E4EC00F">
            <w:pPr>
              <w:cnfStyle w:val="000000100000" w:firstRow="0" w:lastRow="0" w:firstColumn="0" w:lastColumn="0" w:oddVBand="0" w:evenVBand="0" w:oddHBand="1" w:evenHBand="0" w:firstRowFirstColumn="0" w:firstRowLastColumn="0" w:lastRowFirstColumn="0" w:lastRowLastColumn="0"/>
              <w:rPr>
                <w:rFonts w:ascii="Trebuchet MS" w:hAnsi="Trebuchet MS"/>
                <w:sz w:val="22"/>
                <w:szCs w:val="22"/>
              </w:rPr>
            </w:pPr>
            <w:r>
              <w:rPr>
                <w:rFonts w:ascii="Trebuchet MS" w:hAnsi="Trebuchet MS"/>
                <w:sz w:val="22"/>
                <w:szCs w:val="22"/>
              </w:rPr>
              <w:t xml:space="preserve">The uncertainty </w:t>
            </w:r>
            <w:r w:rsidR="00805FB6">
              <w:rPr>
                <w:rFonts w:ascii="Trebuchet MS" w:hAnsi="Trebuchet MS"/>
                <w:sz w:val="22"/>
                <w:szCs w:val="22"/>
              </w:rPr>
              <w:t xml:space="preserve">in an analogue scale (such as </w:t>
            </w:r>
            <w:r>
              <w:rPr>
                <w:rFonts w:ascii="Trebuchet MS" w:hAnsi="Trebuchet MS"/>
                <w:sz w:val="22"/>
                <w:szCs w:val="22"/>
              </w:rPr>
              <w:t xml:space="preserve">a </w:t>
            </w:r>
            <w:r w:rsidR="000C7AD4">
              <w:rPr>
                <w:rFonts w:ascii="Trebuchet MS" w:hAnsi="Trebuchet MS"/>
                <w:sz w:val="22"/>
                <w:szCs w:val="22"/>
              </w:rPr>
              <w:t>metre</w:t>
            </w:r>
            <w:r>
              <w:rPr>
                <w:rFonts w:ascii="Trebuchet MS" w:hAnsi="Trebuchet MS"/>
                <w:sz w:val="22"/>
                <w:szCs w:val="22"/>
              </w:rPr>
              <w:t xml:space="preserve"> stick) can be taken as </w:t>
            </w:r>
            <w:r>
              <w:rPr>
                <w:rFonts w:ascii="Symbol" w:hAnsi="Symbol" w:eastAsia="Symbol" w:cs="Symbol"/>
                <w:sz w:val="22"/>
                <w:szCs w:val="22"/>
              </w:rPr>
              <w:t>±</w:t>
            </w:r>
            <w:r>
              <w:rPr>
                <w:rFonts w:ascii="Trebuchet MS" w:hAnsi="Trebuchet MS"/>
                <w:sz w:val="22"/>
                <w:szCs w:val="22"/>
              </w:rPr>
              <w:t>½ in the smallest scale division.</w:t>
            </w:r>
          </w:p>
        </w:tc>
      </w:tr>
      <w:tr w:rsidRPr="00A50A3E" w:rsidR="001B213F" w:rsidTr="005841A1" w14:paraId="7F6B18D3" w14:textId="77777777">
        <w:trPr>
          <w:cantSplit/>
        </w:trPr>
        <w:tc>
          <w:tcPr>
            <w:cnfStyle w:val="001000000000" w:firstRow="0" w:lastRow="0" w:firstColumn="1" w:lastColumn="0" w:oddVBand="0" w:evenVBand="0" w:oddHBand="0" w:evenHBand="0" w:firstRowFirstColumn="0" w:firstRowLastColumn="0" w:lastRowFirstColumn="0" w:lastRowLastColumn="0"/>
            <w:tcW w:w="1980" w:type="dxa"/>
          </w:tcPr>
          <w:p w:rsidR="001B213F" w:rsidP="001B213F" w:rsidRDefault="001B213F" w14:paraId="35ADE6E0" w14:textId="04BFC10A">
            <w:pPr>
              <w:rPr>
                <w:rFonts w:ascii="Trebuchet MS" w:hAnsi="Trebuchet MS"/>
                <w:sz w:val="22"/>
                <w:szCs w:val="22"/>
              </w:rPr>
            </w:pPr>
            <w:r>
              <w:rPr>
                <w:rFonts w:ascii="Trebuchet MS" w:hAnsi="Trebuchet MS"/>
                <w:sz w:val="22"/>
                <w:szCs w:val="22"/>
              </w:rPr>
              <w:lastRenderedPageBreak/>
              <w:t>Systematic</w:t>
            </w:r>
            <w:r w:rsidR="005A289C">
              <w:rPr>
                <w:rFonts w:ascii="Trebuchet MS" w:hAnsi="Trebuchet MS"/>
                <w:sz w:val="22"/>
                <w:szCs w:val="22"/>
              </w:rPr>
              <w:t xml:space="preserve"> effects</w:t>
            </w:r>
          </w:p>
        </w:tc>
        <w:tc>
          <w:tcPr>
            <w:tcW w:w="8505" w:type="dxa"/>
          </w:tcPr>
          <w:p w:rsidRPr="00A50A3E" w:rsidR="001B213F" w:rsidP="001B213F" w:rsidRDefault="00805FB6" w14:paraId="6B7EED86" w14:textId="303392D2">
            <w:pPr>
              <w:cnfStyle w:val="000000000000" w:firstRow="0" w:lastRow="0" w:firstColumn="0" w:lastColumn="0" w:oddVBand="0" w:evenVBand="0" w:oddHBand="0" w:evenHBand="0" w:firstRowFirstColumn="0" w:firstRowLastColumn="0" w:lastRowFirstColumn="0" w:lastRowLastColumn="0"/>
              <w:rPr>
                <w:rFonts w:ascii="Trebuchet MS" w:hAnsi="Trebuchet MS"/>
                <w:sz w:val="22"/>
                <w:szCs w:val="22"/>
              </w:rPr>
            </w:pPr>
            <w:r>
              <w:rPr>
                <w:sz w:val="22"/>
                <w:szCs w:val="22"/>
              </w:rPr>
              <w:t>W</w:t>
            </w:r>
            <w:r w:rsidRPr="00CF6E2F" w:rsidR="00E63AB4">
              <w:rPr>
                <w:sz w:val="22"/>
                <w:szCs w:val="22"/>
              </w:rPr>
              <w:t>here a systematic effect is present the mean value of the measurements will be offset from the true value of the physical quantity being measured.</w:t>
            </w:r>
            <w:r w:rsidR="003D12BA">
              <w:rPr>
                <w:sz w:val="22"/>
                <w:szCs w:val="22"/>
              </w:rPr>
              <w:t xml:space="preserve"> </w:t>
            </w:r>
            <w:r w:rsidRPr="006F2BAC" w:rsidR="006F2BAC">
              <w:rPr>
                <w:sz w:val="22"/>
                <w:szCs w:val="22"/>
              </w:rPr>
              <w:t>Systematic uncertainties occur when readings taken are either all too small or all too large. They can arise due to measurement techniques or experimental design.</w:t>
            </w:r>
            <w:r w:rsidR="006F2BAC">
              <w:rPr>
                <w:sz w:val="22"/>
                <w:szCs w:val="22"/>
              </w:rPr>
              <w:t xml:space="preserve"> </w:t>
            </w:r>
            <w:r w:rsidR="001B213F">
              <w:rPr>
                <w:rFonts w:ascii="Trebuchet MS" w:hAnsi="Trebuchet MS"/>
                <w:sz w:val="22"/>
                <w:szCs w:val="22"/>
              </w:rPr>
              <w:t xml:space="preserve">A systematic </w:t>
            </w:r>
            <w:r w:rsidR="005A289C">
              <w:rPr>
                <w:rFonts w:ascii="Trebuchet MS" w:hAnsi="Trebuchet MS"/>
                <w:sz w:val="22"/>
                <w:szCs w:val="22"/>
              </w:rPr>
              <w:t>effect</w:t>
            </w:r>
            <w:r w:rsidR="001B213F">
              <w:rPr>
                <w:rFonts w:ascii="Trebuchet MS" w:hAnsi="Trebuchet MS"/>
                <w:sz w:val="22"/>
                <w:szCs w:val="22"/>
              </w:rPr>
              <w:t xml:space="preserve"> is a type of </w:t>
            </w:r>
            <w:r w:rsidR="005A289C">
              <w:rPr>
                <w:rFonts w:ascii="Trebuchet MS" w:hAnsi="Trebuchet MS"/>
                <w:sz w:val="22"/>
                <w:szCs w:val="22"/>
              </w:rPr>
              <w:t>uncertainty</w:t>
            </w:r>
            <w:r w:rsidR="001B213F">
              <w:rPr>
                <w:rFonts w:ascii="Trebuchet MS" w:hAnsi="Trebuchet MS"/>
                <w:sz w:val="22"/>
                <w:szCs w:val="22"/>
              </w:rPr>
              <w:t xml:space="preserve"> that skews all results by the same amount in the same direction.  </w:t>
            </w:r>
            <w:r w:rsidR="00397C81">
              <w:rPr>
                <w:rFonts w:ascii="Trebuchet MS" w:hAnsi="Trebuchet MS"/>
                <w:sz w:val="22"/>
                <w:szCs w:val="22"/>
              </w:rPr>
              <w:t>E</w:t>
            </w:r>
            <w:r w:rsidR="001B213F">
              <w:rPr>
                <w:rFonts w:ascii="Trebuchet MS" w:hAnsi="Trebuchet MS"/>
                <w:sz w:val="22"/>
                <w:szCs w:val="22"/>
              </w:rPr>
              <w:t>.g. all values may be 1mm smaller than they should be.</w:t>
            </w:r>
          </w:p>
        </w:tc>
      </w:tr>
      <w:tr w:rsidRPr="00A50A3E" w:rsidR="001B213F" w:rsidTr="005841A1" w14:paraId="3331F577"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80" w:type="dxa"/>
          </w:tcPr>
          <w:p w:rsidR="001B213F" w:rsidP="001B213F" w:rsidRDefault="001B213F" w14:paraId="362F5BB1" w14:textId="41CDF607">
            <w:pPr>
              <w:rPr>
                <w:rFonts w:ascii="Trebuchet MS" w:hAnsi="Trebuchet MS"/>
                <w:sz w:val="22"/>
                <w:szCs w:val="22"/>
              </w:rPr>
            </w:pPr>
            <w:r>
              <w:rPr>
                <w:rFonts w:ascii="Trebuchet MS" w:hAnsi="Trebuchet MS"/>
                <w:sz w:val="22"/>
                <w:szCs w:val="22"/>
              </w:rPr>
              <w:t>Zero Error</w:t>
            </w:r>
          </w:p>
        </w:tc>
        <w:tc>
          <w:tcPr>
            <w:tcW w:w="8505" w:type="dxa"/>
          </w:tcPr>
          <w:p w:rsidRPr="00A50A3E" w:rsidR="001B213F" w:rsidP="001B213F" w:rsidRDefault="001B213F" w14:paraId="51DD55D0" w14:textId="3819F0B7">
            <w:pPr>
              <w:cnfStyle w:val="000000100000" w:firstRow="0" w:lastRow="0" w:firstColumn="0" w:lastColumn="0" w:oddVBand="0" w:evenVBand="0" w:oddHBand="1" w:evenHBand="0" w:firstRowFirstColumn="0" w:firstRowLastColumn="0" w:lastRowFirstColumn="0" w:lastRowLastColumn="0"/>
              <w:rPr>
                <w:rFonts w:ascii="Trebuchet MS" w:hAnsi="Trebuchet MS"/>
                <w:sz w:val="22"/>
                <w:szCs w:val="22"/>
              </w:rPr>
            </w:pPr>
            <w:r>
              <w:rPr>
                <w:rFonts w:ascii="Trebuchet MS" w:hAnsi="Trebuchet MS"/>
                <w:sz w:val="22"/>
                <w:szCs w:val="22"/>
              </w:rPr>
              <w:t>This is the most common systematic e</w:t>
            </w:r>
            <w:r w:rsidR="006F2BAC">
              <w:rPr>
                <w:rFonts w:ascii="Trebuchet MS" w:hAnsi="Trebuchet MS"/>
                <w:sz w:val="22"/>
                <w:szCs w:val="22"/>
              </w:rPr>
              <w:t>ffect</w:t>
            </w:r>
            <w:r>
              <w:rPr>
                <w:rFonts w:ascii="Trebuchet MS" w:hAnsi="Trebuchet MS"/>
                <w:sz w:val="22"/>
                <w:szCs w:val="22"/>
              </w:rPr>
              <w:t xml:space="preserve">.  It </w:t>
            </w:r>
            <w:r w:rsidR="004E19BE">
              <w:rPr>
                <w:rFonts w:ascii="Trebuchet MS" w:hAnsi="Trebuchet MS"/>
                <w:sz w:val="22"/>
                <w:szCs w:val="22"/>
              </w:rPr>
              <w:t>occurs</w:t>
            </w:r>
            <w:r>
              <w:rPr>
                <w:rFonts w:ascii="Trebuchet MS" w:hAnsi="Trebuchet MS"/>
                <w:sz w:val="22"/>
                <w:szCs w:val="22"/>
              </w:rPr>
              <w:t xml:space="preserve"> because the zero point of the </w:t>
            </w:r>
            <w:r w:rsidR="004E19BE">
              <w:rPr>
                <w:rFonts w:ascii="Trebuchet MS" w:hAnsi="Trebuchet MS"/>
                <w:sz w:val="22"/>
                <w:szCs w:val="22"/>
              </w:rPr>
              <w:t xml:space="preserve">device is not set perfectly.  E.g. the end of a </w:t>
            </w:r>
            <w:r w:rsidR="000C7AD4">
              <w:rPr>
                <w:rFonts w:ascii="Trebuchet MS" w:hAnsi="Trebuchet MS"/>
                <w:sz w:val="22"/>
                <w:szCs w:val="22"/>
              </w:rPr>
              <w:t>metre</w:t>
            </w:r>
            <w:r w:rsidR="004E19BE">
              <w:rPr>
                <w:rFonts w:ascii="Trebuchet MS" w:hAnsi="Trebuchet MS"/>
                <w:sz w:val="22"/>
                <w:szCs w:val="22"/>
              </w:rPr>
              <w:t xml:space="preserve"> stick has worn away.  This can be eliminated by starting all measurements from a different value on the </w:t>
            </w:r>
            <w:r w:rsidR="000C7AD4">
              <w:rPr>
                <w:rFonts w:ascii="Trebuchet MS" w:hAnsi="Trebuchet MS"/>
                <w:sz w:val="22"/>
                <w:szCs w:val="22"/>
              </w:rPr>
              <w:t>metre</w:t>
            </w:r>
            <w:r w:rsidR="004E19BE">
              <w:rPr>
                <w:rFonts w:ascii="Trebuchet MS" w:hAnsi="Trebuchet MS"/>
                <w:sz w:val="22"/>
                <w:szCs w:val="22"/>
              </w:rPr>
              <w:t xml:space="preserve"> stick.</w:t>
            </w:r>
          </w:p>
        </w:tc>
      </w:tr>
      <w:tr w:rsidRPr="00A50A3E" w:rsidR="001B213F" w:rsidTr="00F13C83" w14:paraId="010E6E8F" w14:textId="77777777">
        <w:tc>
          <w:tcPr>
            <w:cnfStyle w:val="001000000000" w:firstRow="0" w:lastRow="0" w:firstColumn="1" w:lastColumn="0" w:oddVBand="0" w:evenVBand="0" w:oddHBand="0" w:evenHBand="0" w:firstRowFirstColumn="0" w:firstRowLastColumn="0" w:lastRowFirstColumn="0" w:lastRowLastColumn="0"/>
            <w:tcW w:w="1980" w:type="dxa"/>
          </w:tcPr>
          <w:p w:rsidR="001B213F" w:rsidP="001B213F" w:rsidRDefault="001B213F" w14:paraId="23F72C5F" w14:textId="66670D58">
            <w:pPr>
              <w:rPr>
                <w:rFonts w:ascii="Trebuchet MS" w:hAnsi="Trebuchet MS"/>
                <w:sz w:val="22"/>
                <w:szCs w:val="22"/>
              </w:rPr>
            </w:pPr>
            <w:r>
              <w:rPr>
                <w:rFonts w:ascii="Trebuchet MS" w:hAnsi="Trebuchet MS"/>
                <w:sz w:val="22"/>
                <w:szCs w:val="22"/>
              </w:rPr>
              <w:t>Reducing Uncertainty</w:t>
            </w:r>
          </w:p>
        </w:tc>
        <w:tc>
          <w:tcPr>
            <w:tcW w:w="8505" w:type="dxa"/>
          </w:tcPr>
          <w:p w:rsidRPr="00A50A3E" w:rsidR="001B213F" w:rsidP="00805FB6" w:rsidRDefault="001B213F" w14:paraId="5C6DF2F4" w14:textId="3CC78847">
            <w:pPr>
              <w:cnfStyle w:val="000000000000" w:firstRow="0" w:lastRow="0" w:firstColumn="0" w:lastColumn="0" w:oddVBand="0" w:evenVBand="0" w:oddHBand="0" w:evenHBand="0" w:firstRowFirstColumn="0" w:firstRowLastColumn="0" w:lastRowFirstColumn="0" w:lastRowLastColumn="0"/>
              <w:rPr>
                <w:rFonts w:ascii="Trebuchet MS" w:hAnsi="Trebuchet MS"/>
                <w:sz w:val="22"/>
                <w:szCs w:val="22"/>
              </w:rPr>
            </w:pPr>
            <w:r>
              <w:rPr>
                <w:rFonts w:ascii="Trebuchet MS" w:hAnsi="Trebuchet MS"/>
                <w:sz w:val="22"/>
                <w:szCs w:val="22"/>
              </w:rPr>
              <w:t xml:space="preserve">We can attempt to reduce the random uncertainty by taking multiple observations and calculating a mean from these observations.  </w:t>
            </w:r>
            <w:r w:rsidR="00805FB6">
              <w:rPr>
                <w:rFonts w:ascii="Trebuchet MS" w:hAnsi="Trebuchet MS"/>
                <w:sz w:val="22"/>
                <w:szCs w:val="22"/>
              </w:rPr>
              <w:t>Up to a point the</w:t>
            </w:r>
            <w:r>
              <w:rPr>
                <w:rFonts w:ascii="Trebuchet MS" w:hAnsi="Trebuchet MS"/>
                <w:sz w:val="22"/>
                <w:szCs w:val="22"/>
              </w:rPr>
              <w:t xml:space="preserve"> more measurements the better.</w:t>
            </w:r>
          </w:p>
        </w:tc>
      </w:tr>
      <w:tr w:rsidRPr="00A50A3E" w:rsidR="001B213F" w:rsidTr="00F13C83" w14:paraId="0E7FF0A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1B213F" w:rsidP="001B213F" w:rsidRDefault="001B213F" w14:paraId="6E930C10" w14:textId="75E5FC8A">
            <w:pPr>
              <w:rPr>
                <w:rFonts w:ascii="Trebuchet MS" w:hAnsi="Trebuchet MS"/>
                <w:sz w:val="22"/>
                <w:szCs w:val="22"/>
              </w:rPr>
            </w:pPr>
            <w:r>
              <w:rPr>
                <w:rFonts w:ascii="Trebuchet MS" w:hAnsi="Trebuchet MS"/>
                <w:sz w:val="22"/>
                <w:szCs w:val="22"/>
              </w:rPr>
              <w:t>Percentage</w:t>
            </w:r>
            <w:r w:rsidR="005A289C">
              <w:rPr>
                <w:rFonts w:ascii="Trebuchet MS" w:hAnsi="Trebuchet MS"/>
                <w:sz w:val="22"/>
                <w:szCs w:val="22"/>
              </w:rPr>
              <w:t xml:space="preserve"> Uncertainty</w:t>
            </w:r>
            <w:r w:rsidR="00805FB6">
              <w:rPr>
                <w:rFonts w:ascii="Trebuchet MS" w:hAnsi="Trebuchet MS"/>
                <w:sz w:val="22"/>
                <w:szCs w:val="22"/>
              </w:rPr>
              <w:t xml:space="preserve"> in a reading</w:t>
            </w:r>
          </w:p>
        </w:tc>
        <w:tc>
          <w:tcPr>
            <w:tcW w:w="8505" w:type="dxa"/>
          </w:tcPr>
          <w:p w:rsidRPr="00A50A3E" w:rsidR="001B213F" w:rsidP="00FB7DDF" w:rsidRDefault="00746E5A" w14:paraId="1A42C4AD" w14:textId="7F70ED8C">
            <w:pPr>
              <w:cnfStyle w:val="000000100000" w:firstRow="0" w:lastRow="0" w:firstColumn="0" w:lastColumn="0" w:oddVBand="0" w:evenVBand="0" w:oddHBand="1" w:evenHBand="0" w:firstRowFirstColumn="0" w:firstRowLastColumn="0" w:lastRowFirstColumn="0" w:lastRowLastColumn="0"/>
              <w:rPr>
                <w:rFonts w:ascii="Trebuchet MS" w:hAnsi="Trebuchet MS"/>
                <w:sz w:val="22"/>
                <w:szCs w:val="22"/>
              </w:rPr>
            </w:pPr>
            <m:oMathPara>
              <m:oMath>
                <m:r>
                  <m:rPr>
                    <m:sty m:val="bi"/>
                  </m:rPr>
                  <w:rPr>
                    <w:rFonts w:ascii="Cambria Math" w:hAnsi="Cambria Math" w:eastAsia="Trebuchet MS" w:cs="Times New Roman"/>
                    <w:sz w:val="22"/>
                    <w:szCs w:val="22"/>
                  </w:rPr>
                  <m:t xml:space="preserve">Percentage Uncertainty= </m:t>
                </m:r>
                <m:f>
                  <m:fPr>
                    <m:ctrlPr>
                      <w:rPr>
                        <w:rFonts w:ascii="Cambria Math" w:hAnsi="Cambria Math" w:eastAsia="Trebuchet MS" w:cs="Times New Roman"/>
                        <w:i/>
                        <w:sz w:val="22"/>
                        <w:szCs w:val="22"/>
                      </w:rPr>
                    </m:ctrlPr>
                  </m:fPr>
                  <m:num>
                    <m:r>
                      <m:rPr>
                        <m:sty m:val="bi"/>
                      </m:rPr>
                      <w:rPr>
                        <w:rFonts w:ascii="Cambria Math" w:hAnsi="Cambria Math" w:eastAsia="Trebuchet MS" w:cs="Times New Roman"/>
                        <w:sz w:val="22"/>
                        <w:szCs w:val="22"/>
                      </w:rPr>
                      <m:t xml:space="preserve"> Uncertainty</m:t>
                    </m:r>
                  </m:num>
                  <m:den>
                    <m:r>
                      <m:rPr>
                        <m:sty m:val="bi"/>
                      </m:rPr>
                      <w:rPr>
                        <w:rFonts w:ascii="Cambria Math" w:hAnsi="Cambria Math" w:eastAsia="Trebuchet MS" w:cs="Times New Roman"/>
                        <w:sz w:val="22"/>
                        <w:szCs w:val="22"/>
                      </w:rPr>
                      <m:t>Mean</m:t>
                    </m:r>
                  </m:den>
                </m:f>
                <m:r>
                  <m:rPr>
                    <m:sty m:val="bi"/>
                  </m:rPr>
                  <w:rPr>
                    <w:rFonts w:ascii="Cambria Math" w:hAnsi="Cambria Math" w:eastAsia="Trebuchet MS" w:cs="Times New Roman"/>
                    <w:sz w:val="22"/>
                    <w:szCs w:val="22"/>
                  </w:rPr>
                  <m:t>×100</m:t>
                </m:r>
                <m:r>
                  <m:rPr>
                    <m:sty m:val="bi"/>
                  </m:rPr>
                  <w:rPr>
                    <w:rFonts w:ascii="Cambria Math" w:hAnsi="Cambria Math" w:eastAsia="Trebuchet MS" w:cs="Times New Roman"/>
                    <w:sz w:val="22"/>
                    <w:szCs w:val="22"/>
                  </w:rPr>
                  <m:t>%</m:t>
                </m:r>
              </m:oMath>
            </m:oMathPara>
          </w:p>
        </w:tc>
      </w:tr>
      <w:tr w:rsidRPr="00A50A3E" w:rsidR="00805FB6" w:rsidTr="00F13C83" w14:paraId="0D07E4BD" w14:textId="77777777">
        <w:tc>
          <w:tcPr>
            <w:cnfStyle w:val="001000000000" w:firstRow="0" w:lastRow="0" w:firstColumn="1" w:lastColumn="0" w:oddVBand="0" w:evenVBand="0" w:oddHBand="0" w:evenHBand="0" w:firstRowFirstColumn="0" w:firstRowLastColumn="0" w:lastRowFirstColumn="0" w:lastRowLastColumn="0"/>
            <w:tcW w:w="1980" w:type="dxa"/>
          </w:tcPr>
          <w:p w:rsidR="00805FB6" w:rsidP="00805FB6" w:rsidRDefault="00805FB6" w14:paraId="644A7531" w14:textId="77777777">
            <w:pPr>
              <w:rPr>
                <w:rFonts w:ascii="Trebuchet MS" w:hAnsi="Trebuchet MS"/>
                <w:sz w:val="22"/>
                <w:szCs w:val="22"/>
              </w:rPr>
            </w:pPr>
            <w:r>
              <w:rPr>
                <w:rFonts w:ascii="Trebuchet MS" w:hAnsi="Trebuchet MS"/>
                <w:sz w:val="22"/>
                <w:szCs w:val="22"/>
              </w:rPr>
              <w:t>Overall</w:t>
            </w:r>
          </w:p>
          <w:p w:rsidR="00805FB6" w:rsidP="00805FB6" w:rsidRDefault="00805FB6" w14:paraId="460C6F36" w14:textId="48364038">
            <w:pPr>
              <w:rPr>
                <w:rFonts w:ascii="Trebuchet MS" w:hAnsi="Trebuchet MS"/>
                <w:sz w:val="22"/>
                <w:szCs w:val="22"/>
              </w:rPr>
            </w:pPr>
            <w:r>
              <w:rPr>
                <w:rFonts w:ascii="Trebuchet MS" w:hAnsi="Trebuchet MS"/>
                <w:sz w:val="22"/>
                <w:szCs w:val="22"/>
              </w:rPr>
              <w:t>Percentage Uncertainty</w:t>
            </w:r>
          </w:p>
        </w:tc>
        <w:tc>
          <w:tcPr>
            <w:tcW w:w="8505" w:type="dxa"/>
          </w:tcPr>
          <w:p w:rsidR="00805FB6" w:rsidP="00805FB6" w:rsidRDefault="00805FB6" w14:paraId="661349ED" w14:textId="54DA1946">
            <w:p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I</w:t>
            </w:r>
            <w:r w:rsidRPr="00CF6E2F">
              <w:rPr>
                <w:sz w:val="22"/>
                <w:szCs w:val="22"/>
              </w:rPr>
              <w:t>n an experiment where more than one physical quantity has been measured, the quantity with the largest percentage uncertainty</w:t>
            </w:r>
            <w:r>
              <w:rPr>
                <w:sz w:val="22"/>
                <w:szCs w:val="22"/>
              </w:rPr>
              <w:t xml:space="preserve"> </w:t>
            </w:r>
            <w:r w:rsidRPr="00CF6E2F">
              <w:rPr>
                <w:sz w:val="22"/>
                <w:szCs w:val="22"/>
              </w:rPr>
              <w:t>this percentage uncertainty is often a good estimate of the percentage uncertainty in the final numerical result</w:t>
            </w:r>
            <w:r>
              <w:rPr>
                <w:rFonts w:ascii="Trebuchet MS" w:hAnsi="Trebuchet MS"/>
                <w:sz w:val="22"/>
                <w:szCs w:val="22"/>
              </w:rPr>
              <w:t xml:space="preserve">. The result should be in the form: “Value  Unit  </w:t>
            </w:r>
            <w:r>
              <w:rPr>
                <w:rFonts w:ascii="Symbol" w:hAnsi="Symbol" w:eastAsia="Symbol" w:cs="Symbol"/>
                <w:sz w:val="22"/>
                <w:szCs w:val="22"/>
              </w:rPr>
              <w:t>±</w:t>
            </w:r>
            <w:r>
              <w:rPr>
                <w:rFonts w:ascii="Trebuchet MS" w:hAnsi="Trebuchet MS"/>
                <w:sz w:val="22"/>
                <w:szCs w:val="22"/>
              </w:rPr>
              <w:t xml:space="preserve"> percentage uncertainty %”</w:t>
            </w:r>
          </w:p>
        </w:tc>
      </w:tr>
      <w:tr w:rsidRPr="00A50A3E" w:rsidR="00805FB6" w:rsidTr="00F13C83" w14:paraId="3A908E6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00805FB6" w:rsidP="00805FB6" w:rsidRDefault="00805FB6" w14:paraId="7EF9D403" w14:textId="05BD9C36">
            <w:pPr>
              <w:rPr>
                <w:rFonts w:ascii="Trebuchet MS" w:hAnsi="Trebuchet MS"/>
                <w:sz w:val="22"/>
                <w:szCs w:val="22"/>
              </w:rPr>
            </w:pPr>
            <w:r>
              <w:rPr>
                <w:rFonts w:ascii="Trebuchet MS" w:hAnsi="Trebuchet MS"/>
                <w:sz w:val="22"/>
                <w:szCs w:val="22"/>
              </w:rPr>
              <w:t>Absolute Uncertainty</w:t>
            </w:r>
          </w:p>
        </w:tc>
        <w:tc>
          <w:tcPr>
            <w:tcW w:w="8505" w:type="dxa"/>
          </w:tcPr>
          <w:p w:rsidRPr="00A50A3E" w:rsidR="00805FB6" w:rsidP="00805FB6" w:rsidRDefault="00805FB6" w14:paraId="5147623D" w14:textId="22345AC2">
            <w:pPr>
              <w:cnfStyle w:val="000000100000" w:firstRow="0" w:lastRow="0" w:firstColumn="0" w:lastColumn="0" w:oddVBand="0" w:evenVBand="0" w:oddHBand="1" w:evenHBand="0" w:firstRowFirstColumn="0" w:firstRowLastColumn="0" w:lastRowFirstColumn="0" w:lastRowLastColumn="0"/>
              <w:rPr>
                <w:rFonts w:ascii="Trebuchet MS" w:hAnsi="Trebuchet MS"/>
                <w:sz w:val="22"/>
                <w:szCs w:val="22"/>
              </w:rPr>
            </w:pPr>
            <w:r>
              <w:rPr>
                <w:rFonts w:ascii="Trebuchet MS" w:hAnsi="Trebuchet MS"/>
                <w:sz w:val="22"/>
                <w:szCs w:val="22"/>
              </w:rPr>
              <w:t xml:space="preserve">This is the ‘total’ uncertainty in an experiment. A result including this should be in the form: “(Value </w:t>
            </w:r>
            <w:r>
              <w:rPr>
                <w:rFonts w:ascii="Symbol" w:hAnsi="Symbol" w:eastAsia="Symbol" w:cs="Symbol"/>
                <w:sz w:val="22"/>
                <w:szCs w:val="22"/>
              </w:rPr>
              <w:t>±</w:t>
            </w:r>
            <w:r>
              <w:rPr>
                <w:rFonts w:ascii="Trebuchet MS" w:hAnsi="Trebuchet MS"/>
                <w:sz w:val="22"/>
                <w:szCs w:val="22"/>
              </w:rPr>
              <w:t xml:space="preserve"> absolute uncertainty) unit”</w:t>
            </w:r>
          </w:p>
        </w:tc>
      </w:tr>
    </w:tbl>
    <w:p w:rsidRPr="00A50A3E" w:rsidR="00592006" w:rsidRDefault="00592006" w14:paraId="13F0F7C2" w14:textId="77777777">
      <w:pPr>
        <w:rPr>
          <w:sz w:val="22"/>
          <w:szCs w:val="22"/>
        </w:rPr>
      </w:pPr>
    </w:p>
    <w:p w:rsidRPr="00805FB6" w:rsidR="00805FB6" w:rsidP="00805FB6" w:rsidRDefault="00805FB6" w14:paraId="3CDE3F80" w14:textId="77777777">
      <w:pPr>
        <w:pStyle w:val="Heading2"/>
      </w:pPr>
      <w:r w:rsidRPr="00805FB6">
        <w:t>What is the difference between Accuracy and Precision?</w:t>
      </w:r>
    </w:p>
    <w:p w:rsidR="00C25480" w:rsidP="00805FB6" w:rsidRDefault="00805FB6" w14:paraId="5E235341" w14:textId="69EA1749">
      <w:pPr>
        <w:rPr>
          <w:sz w:val="22"/>
          <w:szCs w:val="22"/>
        </w:rPr>
      </w:pPr>
      <w:r w:rsidRPr="00805FB6">
        <w:rPr>
          <w:sz w:val="22"/>
          <w:szCs w:val="22"/>
        </w:rPr>
        <w:t>Both accuracy and precision reflect how close a measurement is to an actual value, but they are not the same. Accuracy reflects how close a measurement is to a known or accepted value, while precision reflects how reproducible measurements are, even if they are far from the accepted value. Measurements that are both precise and accurate are repeatable and very close to true values.</w:t>
      </w:r>
      <w:r w:rsidR="00C25480">
        <w:rPr>
          <w:sz w:val="22"/>
          <w:szCs w:val="22"/>
        </w:rPr>
        <w:br/>
      </w:r>
    </w:p>
    <w:p w:rsidR="003B5B13" w:rsidP="003B5B13" w:rsidRDefault="003B5B13" w14:paraId="242F3186" w14:textId="77777777">
      <w:pPr>
        <w:rPr>
          <w:color w:val="0000FF"/>
        </w:rPr>
      </w:pPr>
    </w:p>
    <w:p w:rsidR="003B5B13" w:rsidP="003B5B13" w:rsidRDefault="003B5B13" w14:paraId="418B9C0D" w14:textId="0C7B9BC6">
      <w:pPr>
        <w:pStyle w:val="Heading2"/>
      </w:pPr>
      <w:r>
        <w:t>Scale READING UNCERTAINTY</w:t>
      </w:r>
    </w:p>
    <w:p w:rsidRPr="008E0D62" w:rsidR="008E0D62" w:rsidP="008E0D62" w:rsidRDefault="008E0D62" w14:paraId="7D13B033" w14:textId="77777777">
      <w:pPr>
        <w:rPr>
          <w:lang w:eastAsia="en-GB"/>
        </w:rPr>
      </w:pPr>
    </w:p>
    <w:p w:rsidR="003B5B13" w:rsidP="003B5B13" w:rsidRDefault="003B5B13" w14:paraId="24054798" w14:textId="77777777">
      <w:pPr>
        <w:rPr>
          <w:lang w:eastAsia="en-GB"/>
        </w:rPr>
      </w:pPr>
      <w:r>
        <w:rPr>
          <w:lang w:eastAsia="en-GB"/>
        </w:rPr>
        <w:t>Analogue scale reading uncertainty± half the least division of the scale.</w:t>
      </w:r>
    </w:p>
    <w:p w:rsidRPr="008E0D62" w:rsidR="003B5B13" w:rsidP="003B5B13" w:rsidRDefault="003B5B13" w14:paraId="79984864" w14:textId="775B9A59">
      <w:pPr>
        <w:rPr>
          <w:rFonts w:eastAsiaTheme="minorEastAsia"/>
          <w:lang w:eastAsia="en-GB"/>
        </w:rPr>
      </w:pPr>
      <m:oMathPara>
        <m:oMath>
          <m:m>
            <m:mPr>
              <m:mcs>
                <m:mc>
                  <m:mcPr>
                    <m:count m:val="1"/>
                    <m:mcJc m:val="center"/>
                  </m:mcPr>
                </m:mc>
              </m:mcs>
              <m:ctrlPr>
                <w:rPr>
                  <w:rFonts w:ascii="Cambria Math" w:hAnsi="Cambria Math" w:cs="Arial"/>
                  <w:i/>
                  <w:lang w:eastAsia="en-GB"/>
                </w:rPr>
              </m:ctrlPr>
            </m:mPr>
            <m:mr>
              <m:e>
                <m:r>
                  <w:rPr>
                    <w:rFonts w:ascii="Cambria Math" w:hAnsi="Cambria Math"/>
                    <w:lang w:eastAsia="en-GB"/>
                  </w:rPr>
                  <m:t xml:space="preserve">  %scale reading uncertainty</m:t>
                </m:r>
                <m:ctrlPr>
                  <w:rPr>
                    <w:rFonts w:ascii="Cambria Math" w:hAnsi="Cambria Math"/>
                    <w:i/>
                    <w:lang w:eastAsia="en-GB"/>
                  </w:rPr>
                </m:ctrlPr>
              </m:e>
            </m:mr>
            <m:mr>
              <m:e>
                <m:r>
                  <w:rPr>
                    <w:rFonts w:ascii="Cambria Math" w:hAnsi="Cambria Math"/>
                    <w:lang w:eastAsia="en-GB"/>
                  </w:rPr>
                  <m:t>in Analogue device</m:t>
                </m:r>
                <m:ctrlPr>
                  <w:rPr>
                    <w:rFonts w:ascii="Cambria Math" w:hAnsi="Cambria Math"/>
                    <w:i/>
                    <w:lang w:eastAsia="en-GB"/>
                  </w:rPr>
                </m:ctrlPr>
              </m:e>
            </m:mr>
          </m:m>
          <m:r>
            <w:rPr>
              <w:rFonts w:ascii="Cambria Math" w:hAnsi="Cambria Math" w:cs="Trebuchet MS"/>
              <w:lang w:eastAsia="en-GB"/>
            </w:rPr>
            <m:t>±</m:t>
          </m:r>
          <m:r>
            <w:rPr>
              <w:rFonts w:ascii="Cambria Math" w:hAnsi="Cambria Math"/>
              <w:lang w:eastAsia="en-GB"/>
            </w:rPr>
            <m:t xml:space="preserve"> </m:t>
          </m:r>
          <m:f>
            <m:fPr>
              <m:ctrlPr>
                <w:rPr>
                  <w:rFonts w:ascii="Cambria Math" w:hAnsi="Cambria Math"/>
                  <w:i/>
                  <w:lang w:eastAsia="en-GB"/>
                </w:rPr>
              </m:ctrlPr>
            </m:fPr>
            <m:num>
              <m:r>
                <w:rPr>
                  <w:rFonts w:ascii="Cambria Math" w:hAnsi="Cambria Math"/>
                  <w:lang w:eastAsia="en-GB"/>
                </w:rPr>
                <m:t>half the least division of the scale.</m:t>
              </m:r>
            </m:num>
            <m:den>
              <m:r>
                <w:rPr>
                  <w:rFonts w:ascii="Cambria Math" w:hAnsi="Cambria Math"/>
                  <w:lang w:eastAsia="en-GB"/>
                </w:rPr>
                <m:t>reading</m:t>
              </m:r>
            </m:den>
          </m:f>
          <m:r>
            <w:rPr>
              <w:rFonts w:ascii="Cambria Math" w:hAnsi="Cambria Math"/>
              <w:lang w:eastAsia="en-GB"/>
            </w:rPr>
            <m:t xml:space="preserve"> </m:t>
          </m:r>
          <m:r>
            <w:rPr>
              <w:rFonts w:ascii="Cambria Math" w:hAnsi="Cambria Math" w:cs="Trebuchet MS"/>
              <w:lang w:eastAsia="en-GB"/>
            </w:rPr>
            <m:t>×</m:t>
          </m:r>
          <m:r>
            <w:rPr>
              <w:rFonts w:ascii="Cambria Math" w:hAnsi="Cambria Math"/>
              <w:lang w:eastAsia="en-GB"/>
            </w:rPr>
            <m:t>100%</m:t>
          </m:r>
        </m:oMath>
      </m:oMathPara>
    </w:p>
    <w:p w:rsidR="008E0D62" w:rsidP="003B5B13" w:rsidRDefault="008E0D62" w14:paraId="103D320F" w14:textId="77777777">
      <w:pPr>
        <w:rPr>
          <w:lang w:eastAsia="en-GB"/>
        </w:rPr>
      </w:pPr>
    </w:p>
    <w:p w:rsidR="003B5B13" w:rsidP="003B5B13" w:rsidRDefault="003B5B13" w14:paraId="621E0AAE" w14:textId="4389CBCD">
      <w:pPr>
        <w:rPr>
          <w:lang w:eastAsia="en-GB"/>
        </w:rPr>
      </w:pPr>
      <w:r>
        <w:rPr>
          <w:lang w:eastAsia="en-GB"/>
        </w:rPr>
        <w:t xml:space="preserve"> Digital scale reading uncertainty ± 1 in the least significant digit displayed.</w:t>
      </w:r>
    </w:p>
    <w:p w:rsidRPr="007A447B" w:rsidR="003B5B13" w:rsidP="003B5B13" w:rsidRDefault="003B5B13" w14:paraId="7BAC6CCE" w14:textId="47F2D5A3">
      <w:pPr>
        <w:rPr>
          <w:rFonts w:eastAsiaTheme="minorEastAsia"/>
          <w:lang w:eastAsia="en-GB"/>
        </w:rPr>
      </w:pPr>
      <m:oMathPara>
        <m:oMath>
          <m:m>
            <m:mPr>
              <m:mcs>
                <m:mc>
                  <m:mcPr>
                    <m:count m:val="1"/>
                    <m:mcJc m:val="center"/>
                  </m:mcPr>
                </m:mc>
              </m:mcs>
              <m:ctrlPr>
                <w:rPr>
                  <w:rFonts w:ascii="Cambria Math" w:hAnsi="Cambria Math" w:cs="Arial"/>
                  <w:i/>
                  <w:lang w:eastAsia="en-GB"/>
                </w:rPr>
              </m:ctrlPr>
            </m:mPr>
            <m:mr>
              <m:e>
                <m:r>
                  <w:rPr>
                    <w:rFonts w:ascii="Cambria Math" w:hAnsi="Cambria Math"/>
                    <w:lang w:eastAsia="en-GB"/>
                  </w:rPr>
                  <m:t xml:space="preserve">  %scale reading uncertainty</m:t>
                </m:r>
                <m:ctrlPr>
                  <w:rPr>
                    <w:rFonts w:ascii="Cambria Math" w:hAnsi="Cambria Math"/>
                    <w:i/>
                    <w:lang w:eastAsia="en-GB"/>
                  </w:rPr>
                </m:ctrlPr>
              </m:e>
            </m:mr>
            <m:mr>
              <m:e>
                <m:r>
                  <w:rPr>
                    <w:rFonts w:ascii="Cambria Math" w:hAnsi="Cambria Math"/>
                    <w:lang w:eastAsia="en-GB"/>
                  </w:rPr>
                  <m:t>in digital device</m:t>
                </m:r>
                <m:ctrlPr>
                  <w:rPr>
                    <w:rFonts w:ascii="Cambria Math" w:hAnsi="Cambria Math"/>
                    <w:i/>
                    <w:lang w:eastAsia="en-GB"/>
                  </w:rPr>
                </m:ctrlPr>
              </m:e>
            </m:mr>
          </m:m>
          <m:r>
            <w:rPr>
              <w:rFonts w:ascii="Cambria Math" w:hAnsi="Cambria Math" w:cs="Trebuchet MS"/>
              <w:lang w:eastAsia="en-GB"/>
            </w:rPr>
            <m:t>±</m:t>
          </m:r>
          <m:r>
            <w:rPr>
              <w:rFonts w:ascii="Cambria Math" w:hAnsi="Cambria Math"/>
              <w:lang w:eastAsia="en-GB"/>
            </w:rPr>
            <m:t xml:space="preserve"> </m:t>
          </m:r>
          <m:f>
            <m:fPr>
              <m:ctrlPr>
                <w:rPr>
                  <w:rFonts w:ascii="Cambria Math" w:hAnsi="Cambria Math"/>
                  <w:i/>
                  <w:lang w:eastAsia="en-GB"/>
                </w:rPr>
              </m:ctrlPr>
            </m:fPr>
            <m:num>
              <m:r>
                <w:rPr>
                  <w:rFonts w:ascii="Cambria Math" w:hAnsi="Cambria Math"/>
                  <w:lang w:eastAsia="en-GB"/>
                </w:rPr>
                <m:t>1 in the least significant digit.</m:t>
              </m:r>
            </m:num>
            <m:den>
              <m:r>
                <w:rPr>
                  <w:rFonts w:ascii="Cambria Math" w:hAnsi="Cambria Math"/>
                  <w:lang w:eastAsia="en-GB"/>
                </w:rPr>
                <m:t>reading</m:t>
              </m:r>
            </m:den>
          </m:f>
          <m:r>
            <w:rPr>
              <w:rFonts w:ascii="Cambria Math" w:hAnsi="Cambria Math"/>
              <w:lang w:eastAsia="en-GB"/>
            </w:rPr>
            <m:t xml:space="preserve"> </m:t>
          </m:r>
          <m:r>
            <w:rPr>
              <w:rFonts w:ascii="Cambria Math" w:hAnsi="Cambria Math" w:cs="Trebuchet MS"/>
              <w:lang w:eastAsia="en-GB"/>
            </w:rPr>
            <m:t>×</m:t>
          </m:r>
          <m:r>
            <w:rPr>
              <w:rFonts w:ascii="Cambria Math" w:hAnsi="Cambria Math"/>
              <w:lang w:eastAsia="en-GB"/>
            </w:rPr>
            <m:t>100%</m:t>
          </m:r>
        </m:oMath>
      </m:oMathPara>
    </w:p>
    <w:p w:rsidR="007A447B" w:rsidP="003B5B13" w:rsidRDefault="007A447B" w14:paraId="49FA9F49" w14:textId="685999FB">
      <w:pPr>
        <w:rPr>
          <w:lang w:eastAsia="en-GB"/>
        </w:rPr>
      </w:pPr>
    </w:p>
    <w:p w:rsidRPr="007A447B" w:rsidR="007A447B" w:rsidP="003B5B13" w:rsidRDefault="007A447B" w14:paraId="50751F5A" w14:textId="176C7D55">
      <w:proofErr w:type="gramStart"/>
      <w:r w:rsidR="007A447B">
        <w:rPr/>
        <w:t>So</w:t>
      </w:r>
      <w:proofErr w:type="gramEnd"/>
      <w:r w:rsidR="007A447B">
        <w:rPr/>
        <w:t xml:space="preserve"> find the overall scale reading uncertainty in each </w:t>
      </w:r>
      <w:r w:rsidR="48C4C287">
        <w:rPr/>
        <w:t>result</w:t>
      </w:r>
      <w:r w:rsidR="007A447B">
        <w:rPr/>
        <w:t>, find the approximate reading uncertainty in each measurement. The largest of these will give an indication of the overall uncertainty in your experiment</w:t>
      </w:r>
      <w:r w:rsidR="75CF5A9F">
        <w:rPr/>
        <w:t>.</w:t>
      </w:r>
    </w:p>
    <w:p w:rsidRPr="003B5B13" w:rsidR="007A447B" w:rsidP="003B5B13" w:rsidRDefault="007A447B" w14:paraId="5DB5FC08" w14:textId="77777777">
      <w:pPr>
        <w:rPr>
          <w:lang w:eastAsia="en-GB"/>
        </w:rPr>
      </w:pPr>
    </w:p>
    <w:p w:rsidR="009B73F3" w:rsidP="00B608C7" w:rsidRDefault="009B73F3" w14:paraId="090296D5" w14:textId="77777777"/>
    <w:p w:rsidR="009B73F3" w:rsidP="00B608C7" w:rsidRDefault="009B73F3" w14:paraId="7F0D15B1" w14:textId="77777777"/>
    <w:p w:rsidR="009B73F3" w:rsidP="00B608C7" w:rsidRDefault="009B73F3" w14:paraId="6D3739D0" w14:textId="77777777"/>
    <w:p w:rsidR="009B73F3" w:rsidP="00B608C7" w:rsidRDefault="009B73F3" w14:paraId="119BD879" w14:textId="23BCE127"/>
    <w:p w:rsidR="0053589E" w:rsidP="00B608C7" w:rsidRDefault="0053589E" w14:paraId="20166DBC" w14:textId="177C939A"/>
    <w:p w:rsidR="0053589E" w:rsidP="00B608C7" w:rsidRDefault="0053589E" w14:paraId="2137274E" w14:textId="5BEBA331"/>
    <w:p w:rsidR="0053589E" w:rsidP="00B608C7" w:rsidRDefault="0053589E" w14:paraId="79E0700E" w14:textId="3237C073"/>
    <w:p w:rsidR="0053589E" w:rsidP="00B608C7" w:rsidRDefault="0053589E" w14:paraId="1FDEBCE4" w14:textId="3F014AC0"/>
    <w:p w:rsidR="0053589E" w:rsidP="00B608C7" w:rsidRDefault="0053589E" w14:paraId="2F9D6C03" w14:textId="454574C6"/>
    <w:p w:rsidR="0053589E" w:rsidP="00B608C7" w:rsidRDefault="0053589E" w14:paraId="149DA6ED" w14:textId="77777777"/>
    <w:p w:rsidR="009B73F3" w:rsidP="00B608C7" w:rsidRDefault="009B73F3" w14:paraId="47864B4E" w14:textId="20D897D5">
      <w:r>
        <w:t>Example</w:t>
      </w:r>
    </w:p>
    <w:p w:rsidR="00B608C7" w:rsidP="00B608C7" w:rsidRDefault="009B73F3" w14:paraId="5F7ADEF9" w14:textId="3045841F">
      <w:r>
        <w:rPr>
          <w:noProof/>
        </w:rPr>
        <w:drawing>
          <wp:anchor distT="0" distB="0" distL="114300" distR="114300" simplePos="0" relativeHeight="251665408" behindDoc="1" locked="0" layoutInCell="1" allowOverlap="1" wp14:anchorId="30D2B5F5" wp14:editId="09E1198E">
            <wp:simplePos x="0" y="0"/>
            <wp:positionH relativeFrom="margin">
              <wp:posOffset>3349951</wp:posOffset>
            </wp:positionH>
            <wp:positionV relativeFrom="paragraph">
              <wp:posOffset>352051</wp:posOffset>
            </wp:positionV>
            <wp:extent cx="2625090" cy="1584960"/>
            <wp:effectExtent l="0" t="0" r="3810" b="0"/>
            <wp:wrapTight wrapText="bothSides">
              <wp:wrapPolygon edited="0">
                <wp:start x="0" y="0"/>
                <wp:lineTo x="0" y="21029"/>
                <wp:lineTo x="21475" y="21029"/>
                <wp:lineTo x="2147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5090" cy="1584960"/>
                    </a:xfrm>
                    <a:prstGeom prst="rect">
                      <a:avLst/>
                    </a:prstGeom>
                    <a:noFill/>
                    <a:ln>
                      <a:noFill/>
                    </a:ln>
                  </pic:spPr>
                </pic:pic>
              </a:graphicData>
            </a:graphic>
            <wp14:sizeRelH relativeFrom="page">
              <wp14:pctWidth>0</wp14:pctWidth>
            </wp14:sizeRelH>
            <wp14:sizeRelV relativeFrom="page">
              <wp14:pctHeight>0</wp14:pctHeight>
            </wp14:sizeRelV>
          </wp:anchor>
        </w:drawing>
      </w:r>
      <w:r w:rsidR="00B608C7">
        <w:rPr/>
        <w:t>A student sets up the apparatus in the diagram to measure the average acceleration of a model car as it travels between P and Q</w:t>
      </w:r>
    </w:p>
    <w:tbl>
      <w:tblPr>
        <w:tblStyle w:val="TableGrid"/>
        <w:tblW w:w="0" w:type="auto"/>
        <w:tblBorders>
          <w:top w:val="none" w:color="auto" w:sz="0" w:space="0"/>
          <w:left w:val="none" w:color="auto" w:sz="0" w:space="0"/>
          <w:bottom w:val="none" w:color="auto" w:sz="0" w:space="0"/>
          <w:right w:val="none" w:color="auto" w:sz="0" w:space="0"/>
          <w:insideH w:val="none" w:color="auto" w:sz="0" w:space="0"/>
        </w:tblBorders>
        <w:tblLook w:val="04A0" w:firstRow="1" w:lastRow="0" w:firstColumn="1" w:lastColumn="0" w:noHBand="0" w:noVBand="1"/>
      </w:tblPr>
      <w:tblGrid>
        <w:gridCol w:w="4644"/>
      </w:tblGrid>
      <w:tr w:rsidR="00B608C7" w:rsidTr="002A75F2" w14:paraId="04A10BBC" w14:textId="77777777">
        <w:tc>
          <w:tcPr>
            <w:tcW w:w="4644" w:type="dxa"/>
          </w:tcPr>
          <w:p w:rsidR="00B608C7" w:rsidP="002A75F2" w:rsidRDefault="00B608C7" w14:paraId="07C8EAE6" w14:textId="0B7619AF"/>
          <w:p w:rsidR="00B608C7" w:rsidP="002A75F2" w:rsidRDefault="00B608C7" w14:paraId="41E8375F" w14:textId="77777777">
            <w:pPr>
              <w:rPr>
                <w:color w:val="0000FF"/>
              </w:rPr>
            </w:pPr>
            <w:r>
              <w:t>For one run, the following measurements were recorded along with their estimated uncertainty.</w:t>
            </w:r>
            <w:r>
              <w:br/>
            </w:r>
            <w:r>
              <w:t>clock 1 reading = 0.23 s ± 0.01 s</w:t>
            </w:r>
            <w:r>
              <w:br/>
            </w:r>
            <w:r>
              <w:t>clock 2 reading = 0.12 s ± 0.01 s</w:t>
            </w:r>
            <w:r>
              <w:br/>
            </w:r>
            <w:r>
              <w:t>stopwatch reading = 0.95 s ± 0.20 s</w:t>
            </w:r>
            <w:r>
              <w:br/>
            </w:r>
            <w:r>
              <w:t>length of car = 0.050 m ± 0.002 m</w:t>
            </w:r>
            <w:r>
              <w:br/>
            </w:r>
            <w:r>
              <w:t>distance PQ = 0.30 m ± 0.01 m</w:t>
            </w:r>
          </w:p>
        </w:tc>
      </w:tr>
    </w:tbl>
    <w:p w:rsidR="00B608C7" w:rsidP="00B608C7" w:rsidRDefault="00B608C7" w14:paraId="0A2127DD" w14:textId="3C9FF4B0"/>
    <w:tbl>
      <w:tblPr>
        <w:tblStyle w:val="TableGrid"/>
        <w:tblW w:w="0" w:type="auto"/>
        <w:tblLook w:val="04A0" w:firstRow="1" w:lastRow="0" w:firstColumn="1" w:lastColumn="0" w:noHBand="0" w:noVBand="1"/>
      </w:tblPr>
      <w:tblGrid>
        <w:gridCol w:w="4815"/>
        <w:gridCol w:w="4815"/>
      </w:tblGrid>
      <w:tr w:rsidRPr="009B73F3" w:rsidR="009B73F3" w:rsidTr="004E0C86" w14:paraId="202AC0DB" w14:textId="1255FAF2">
        <w:tc>
          <w:tcPr>
            <w:tcW w:w="4815" w:type="dxa"/>
          </w:tcPr>
          <w:p w:rsidRPr="009B73F3" w:rsidR="009B73F3" w:rsidP="001A77BC" w:rsidRDefault="009B73F3" w14:paraId="6869067C" w14:textId="77777777">
            <w:pPr>
              <w:tabs>
                <w:tab w:val="center" w:pos="8640"/>
              </w:tabs>
            </w:pPr>
            <w:r w:rsidRPr="009B73F3">
              <w:t>The measurement which gives the largest percentage uncertainty is the</w:t>
            </w:r>
          </w:p>
        </w:tc>
        <w:tc>
          <w:tcPr>
            <w:tcW w:w="4815" w:type="dxa"/>
            <w:vMerge w:val="restart"/>
          </w:tcPr>
          <w:p w:rsidRPr="00471C39" w:rsidR="00E2271D" w:rsidP="00E2271D" w:rsidRDefault="0053589E" w14:paraId="7701B671" w14:textId="65883D0F">
            <w:pPr>
              <w:rPr>
                <w:b/>
                <w:color w:val="FF0000"/>
              </w:rPr>
            </w:pPr>
            <m:oMathPara>
              <m:oMath>
                <m:sSub>
                  <m:sSubPr>
                    <m:ctrlPr>
                      <w:rPr>
                        <w:rFonts w:ascii="Cambria Math" w:hAnsi="Cambria Math"/>
                        <w:b/>
                        <w:i/>
                        <w:color w:val="FF0000"/>
                      </w:rPr>
                    </m:ctrlPr>
                  </m:sSubPr>
                  <m:e>
                    <m:r>
                      <m:rPr>
                        <m:sty m:val="bi"/>
                      </m:rPr>
                      <w:rPr>
                        <w:rFonts w:ascii="Cambria Math" w:hAnsi="Cambria Math"/>
                        <w:color w:val="FF0000"/>
                      </w:rPr>
                      <m:t>t</m:t>
                    </m:r>
                  </m:e>
                  <m:sub>
                    <m:r>
                      <m:rPr>
                        <m:sty m:val="bi"/>
                      </m:rPr>
                      <w:rPr>
                        <w:rFonts w:ascii="Cambria Math" w:hAnsi="Cambria Math"/>
                        <w:color w:val="FF0000"/>
                      </w:rPr>
                      <m:t>1</m:t>
                    </m:r>
                  </m:sub>
                </m:sSub>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0.</m:t>
                    </m:r>
                    <m:r>
                      <m:rPr>
                        <m:sty m:val="bi"/>
                      </m:rPr>
                      <w:rPr>
                        <w:rFonts w:ascii="Cambria Math" w:hAnsi="Cambria Math"/>
                        <w:color w:val="FF0000"/>
                      </w:rPr>
                      <m:t>0</m:t>
                    </m:r>
                    <m:r>
                      <m:rPr>
                        <m:sty m:val="bi"/>
                      </m:rPr>
                      <w:rPr>
                        <w:rFonts w:ascii="Cambria Math" w:hAnsi="Cambria Math"/>
                        <w:color w:val="FF0000"/>
                      </w:rPr>
                      <m:t>1</m:t>
                    </m:r>
                  </m:num>
                  <m:den>
                    <m:r>
                      <m:rPr>
                        <m:sty m:val="bi"/>
                      </m:rPr>
                      <w:rPr>
                        <w:rFonts w:ascii="Cambria Math" w:hAnsi="Cambria Math"/>
                        <w:color w:val="FF0000"/>
                      </w:rPr>
                      <m:t>0.23</m:t>
                    </m:r>
                  </m:den>
                </m:f>
                <m:r>
                  <m:rPr>
                    <m:sty m:val="bi"/>
                  </m:rPr>
                  <w:rPr>
                    <w:rFonts w:ascii="Cambria Math" w:hAnsi="Cambria Math"/>
                    <w:color w:val="FF0000"/>
                  </w:rPr>
                  <m:t>=</m:t>
                </m:r>
                <m:r>
                  <m:rPr>
                    <m:sty m:val="bi"/>
                  </m:rPr>
                  <w:rPr>
                    <w:rFonts w:ascii="Cambria Math" w:hAnsi="Cambria Math"/>
                    <w:color w:val="FF0000"/>
                  </w:rPr>
                  <m:t xml:space="preserve">4 </m:t>
                </m:r>
                <m:r>
                  <m:rPr>
                    <m:sty m:val="bi"/>
                  </m:rPr>
                  <w:rPr>
                    <w:rFonts w:ascii="Cambria Math" w:hAnsi="Cambria Math"/>
                    <w:color w:val="FF0000"/>
                  </w:rPr>
                  <m:t>%</m:t>
                </m:r>
              </m:oMath>
            </m:oMathPara>
          </w:p>
          <w:p w:rsidRPr="00471C39" w:rsidR="00E2271D" w:rsidP="00E2271D" w:rsidRDefault="0053589E" w14:paraId="17C0F8A7" w14:textId="4729A572">
            <w:pPr>
              <w:rPr>
                <w:b/>
                <w:color w:val="FF0000"/>
              </w:rPr>
            </w:pPr>
            <m:oMathPara>
              <m:oMath>
                <m:sSub>
                  <m:sSubPr>
                    <m:ctrlPr>
                      <w:rPr>
                        <w:rFonts w:ascii="Cambria Math" w:hAnsi="Cambria Math"/>
                        <w:b/>
                        <w:i/>
                        <w:color w:val="FF0000"/>
                      </w:rPr>
                    </m:ctrlPr>
                  </m:sSubPr>
                  <m:e>
                    <m:r>
                      <m:rPr>
                        <m:sty m:val="bi"/>
                      </m:rPr>
                      <w:rPr>
                        <w:rFonts w:ascii="Cambria Math" w:hAnsi="Cambria Math"/>
                        <w:color w:val="FF0000"/>
                      </w:rPr>
                      <m:t>t</m:t>
                    </m:r>
                  </m:e>
                  <m:sub>
                    <m:r>
                      <m:rPr>
                        <m:sty m:val="bi"/>
                      </m:rPr>
                      <w:rPr>
                        <w:rFonts w:ascii="Cambria Math" w:hAnsi="Cambria Math"/>
                        <w:color w:val="FF0000"/>
                      </w:rPr>
                      <m:t>2</m:t>
                    </m:r>
                  </m:sub>
                </m:sSub>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0.</m:t>
                    </m:r>
                    <m:r>
                      <m:rPr>
                        <m:sty m:val="bi"/>
                      </m:rPr>
                      <w:rPr>
                        <w:rFonts w:ascii="Cambria Math" w:hAnsi="Cambria Math"/>
                        <w:color w:val="FF0000"/>
                      </w:rPr>
                      <m:t>0</m:t>
                    </m:r>
                    <m:r>
                      <m:rPr>
                        <m:sty m:val="bi"/>
                      </m:rPr>
                      <w:rPr>
                        <w:rFonts w:ascii="Cambria Math" w:hAnsi="Cambria Math"/>
                        <w:color w:val="FF0000"/>
                      </w:rPr>
                      <m:t>1</m:t>
                    </m:r>
                  </m:num>
                  <m:den>
                    <m:r>
                      <m:rPr>
                        <m:sty m:val="bi"/>
                      </m:rPr>
                      <w:rPr>
                        <w:rFonts w:ascii="Cambria Math" w:hAnsi="Cambria Math"/>
                        <w:color w:val="FF0000"/>
                      </w:rPr>
                      <m:t>0</m:t>
                    </m:r>
                    <m:r>
                      <m:rPr>
                        <m:sty m:val="bi"/>
                      </m:rPr>
                      <w:rPr>
                        <w:rFonts w:ascii="Cambria Math" w:hAnsi="Cambria Math"/>
                        <w:color w:val="FF0000"/>
                      </w:rPr>
                      <m:t>.</m:t>
                    </m:r>
                    <m:r>
                      <m:rPr>
                        <m:sty m:val="bi"/>
                      </m:rPr>
                      <w:rPr>
                        <w:rFonts w:ascii="Cambria Math" w:hAnsi="Cambria Math"/>
                        <w:color w:val="FF0000"/>
                      </w:rPr>
                      <m:t>1</m:t>
                    </m:r>
                    <m:r>
                      <m:rPr>
                        <m:sty m:val="bi"/>
                      </m:rPr>
                      <w:rPr>
                        <w:rFonts w:ascii="Cambria Math" w:hAnsi="Cambria Math"/>
                        <w:color w:val="FF0000"/>
                      </w:rPr>
                      <m:t>2</m:t>
                    </m:r>
                  </m:den>
                </m:f>
                <m:r>
                  <m:rPr>
                    <m:sty m:val="bi"/>
                  </m:rPr>
                  <w:rPr>
                    <w:rFonts w:ascii="Cambria Math" w:hAnsi="Cambria Math"/>
                    <w:color w:val="FF0000"/>
                  </w:rPr>
                  <m:t>=</m:t>
                </m:r>
                <m:r>
                  <m:rPr>
                    <m:sty m:val="bi"/>
                  </m:rPr>
                  <w:rPr>
                    <w:rFonts w:ascii="Cambria Math" w:hAnsi="Cambria Math"/>
                    <w:color w:val="FF0000"/>
                  </w:rPr>
                  <m:t>8</m:t>
                </m:r>
                <m:r>
                  <m:rPr>
                    <m:sty m:val="bi"/>
                  </m:rPr>
                  <w:rPr>
                    <w:rFonts w:ascii="Cambria Math" w:hAnsi="Cambria Math"/>
                    <w:color w:val="FF0000"/>
                  </w:rPr>
                  <m:t xml:space="preserve"> %</m:t>
                </m:r>
              </m:oMath>
            </m:oMathPara>
          </w:p>
          <w:p w:rsidRPr="00471C39" w:rsidR="00E2271D" w:rsidP="00E2271D" w:rsidRDefault="00E2271D" w14:paraId="610FCBD9" w14:textId="6C7E8B0A">
            <w:pPr>
              <w:rPr>
                <w:b/>
                <w:color w:val="FF0000"/>
              </w:rPr>
            </w:pPr>
            <m:oMathPara>
              <m:oMath>
                <m:r>
                  <m:rPr>
                    <m:sty m:val="bi"/>
                  </m:rPr>
                  <w:rPr>
                    <w:rFonts w:ascii="Cambria Math" w:hAnsi="Cambria Math"/>
                    <w:color w:val="FF0000"/>
                  </w:rPr>
                  <m:t>t=</m:t>
                </m:r>
                <m:f>
                  <m:fPr>
                    <m:ctrlPr>
                      <w:rPr>
                        <w:rFonts w:ascii="Cambria Math" w:hAnsi="Cambria Math"/>
                        <w:b/>
                        <w:i/>
                        <w:color w:val="FF0000"/>
                      </w:rPr>
                    </m:ctrlPr>
                  </m:fPr>
                  <m:num>
                    <m:r>
                      <m:rPr>
                        <m:sty m:val="bi"/>
                      </m:rPr>
                      <w:rPr>
                        <w:rFonts w:ascii="Cambria Math" w:hAnsi="Cambria Math"/>
                        <w:color w:val="FF0000"/>
                      </w:rPr>
                      <m:t>0.20</m:t>
                    </m:r>
                  </m:num>
                  <m:den>
                    <m:r>
                      <m:rPr>
                        <m:sty m:val="bi"/>
                      </m:rPr>
                      <w:rPr>
                        <w:rFonts w:ascii="Cambria Math" w:hAnsi="Cambria Math"/>
                        <w:color w:val="FF0000"/>
                      </w:rPr>
                      <m:t>0.95</m:t>
                    </m:r>
                  </m:den>
                </m:f>
                <m:r>
                  <m:rPr>
                    <m:sty m:val="bi"/>
                  </m:rPr>
                  <w:rPr>
                    <w:rFonts w:ascii="Cambria Math" w:hAnsi="Cambria Math"/>
                    <w:color w:val="FF0000"/>
                  </w:rPr>
                  <m:t>=</m:t>
                </m:r>
                <m:r>
                  <m:rPr>
                    <m:sty m:val="bi"/>
                  </m:rPr>
                  <w:rPr>
                    <w:rFonts w:ascii="Cambria Math" w:hAnsi="Cambria Math"/>
                    <w:color w:val="FF0000"/>
                  </w:rPr>
                  <m:t xml:space="preserve">21 </m:t>
                </m:r>
                <m:r>
                  <m:rPr>
                    <m:sty m:val="bi"/>
                  </m:rPr>
                  <w:rPr>
                    <w:rFonts w:ascii="Cambria Math" w:hAnsi="Cambria Math"/>
                    <w:color w:val="FF0000"/>
                  </w:rPr>
                  <m:t>%</m:t>
                </m:r>
              </m:oMath>
            </m:oMathPara>
          </w:p>
          <w:p w:rsidRPr="00471C39" w:rsidR="00E2271D" w:rsidP="00E2271D" w:rsidRDefault="00E75DC8" w14:paraId="360C31FA" w14:textId="4296DE6D">
            <w:pPr>
              <w:rPr>
                <w:b/>
                <w:color w:val="FF0000"/>
              </w:rPr>
            </w:pPr>
            <m:oMathPara>
              <m:oMath>
                <m:r>
                  <m:rPr>
                    <m:sty m:val="bi"/>
                  </m:rPr>
                  <w:rPr>
                    <w:rFonts w:ascii="Cambria Math" w:hAnsi="Cambria Math"/>
                    <w:color w:val="FF0000"/>
                  </w:rPr>
                  <m:t>l</m:t>
                </m:r>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0.00</m:t>
                    </m:r>
                    <m:r>
                      <m:rPr>
                        <m:sty m:val="bi"/>
                      </m:rPr>
                      <w:rPr>
                        <w:rFonts w:ascii="Cambria Math" w:hAnsi="Cambria Math"/>
                        <w:color w:val="FF0000"/>
                      </w:rPr>
                      <m:t>2</m:t>
                    </m:r>
                  </m:num>
                  <m:den>
                    <m:r>
                      <m:rPr>
                        <m:sty m:val="bi"/>
                      </m:rPr>
                      <w:rPr>
                        <w:rFonts w:ascii="Cambria Math" w:hAnsi="Cambria Math"/>
                        <w:color w:val="FF0000"/>
                      </w:rPr>
                      <m:t>0.0</m:t>
                    </m:r>
                    <m:r>
                      <m:rPr>
                        <m:sty m:val="bi"/>
                      </m:rPr>
                      <w:rPr>
                        <w:rFonts w:ascii="Cambria Math" w:hAnsi="Cambria Math"/>
                        <w:color w:val="FF0000"/>
                      </w:rPr>
                      <m:t>50</m:t>
                    </m:r>
                  </m:den>
                </m:f>
                <m:r>
                  <m:rPr>
                    <m:sty m:val="bi"/>
                  </m:rPr>
                  <w:rPr>
                    <w:rFonts w:ascii="Cambria Math" w:hAnsi="Cambria Math"/>
                    <w:color w:val="FF0000"/>
                  </w:rPr>
                  <m:t>=4%</m:t>
                </m:r>
              </m:oMath>
            </m:oMathPara>
          </w:p>
          <w:p w:rsidRPr="009B73F3" w:rsidR="009B73F3" w:rsidP="00E2271D" w:rsidRDefault="00B775BB" w14:paraId="0788DD2D" w14:textId="594CC3E2">
            <w:pPr>
              <w:tabs>
                <w:tab w:val="center" w:pos="8640"/>
              </w:tabs>
            </w:pPr>
            <m:oMathPara>
              <m:oMath>
                <m:r>
                  <m:rPr>
                    <m:sty m:val="bi"/>
                  </m:rPr>
                  <w:rPr>
                    <w:rFonts w:ascii="Cambria Math" w:hAnsi="Cambria Math"/>
                    <w:color w:val="FF0000"/>
                  </w:rPr>
                  <m:t>d</m:t>
                </m:r>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0.01</m:t>
                    </m:r>
                  </m:num>
                  <m:den>
                    <m:r>
                      <m:rPr>
                        <m:sty m:val="bi"/>
                      </m:rPr>
                      <w:rPr>
                        <w:rFonts w:ascii="Cambria Math" w:hAnsi="Cambria Math"/>
                        <w:color w:val="FF0000"/>
                      </w:rPr>
                      <m:t>0.30</m:t>
                    </m:r>
                  </m:den>
                </m:f>
                <m:r>
                  <m:rPr>
                    <m:sty m:val="bi"/>
                  </m:rPr>
                  <w:rPr>
                    <w:rFonts w:ascii="Cambria Math" w:hAnsi="Cambria Math"/>
                    <w:color w:val="FF0000"/>
                  </w:rPr>
                  <m:t>=</m:t>
                </m:r>
                <m:r>
                  <m:rPr>
                    <m:sty m:val="bi"/>
                  </m:rPr>
                  <w:rPr>
                    <w:rFonts w:ascii="Cambria Math" w:hAnsi="Cambria Math"/>
                    <w:color w:val="FF0000"/>
                  </w:rPr>
                  <m:t>3</m:t>
                </m:r>
                <m:r>
                  <m:rPr>
                    <m:sty m:val="bi"/>
                  </m:rPr>
                  <w:rPr>
                    <w:rFonts w:ascii="Cambria Math" w:hAnsi="Cambria Math"/>
                    <w:color w:val="FF0000"/>
                  </w:rPr>
                  <m:t>%</m:t>
                </m:r>
              </m:oMath>
            </m:oMathPara>
          </w:p>
        </w:tc>
      </w:tr>
      <w:tr w:rsidRPr="009B73F3" w:rsidR="009B73F3" w:rsidTr="004E0C86" w14:paraId="4D80DD9F" w14:textId="6D4E0015">
        <w:tc>
          <w:tcPr>
            <w:tcW w:w="4815" w:type="dxa"/>
          </w:tcPr>
          <w:p w:rsidRPr="009B73F3" w:rsidR="009B73F3" w:rsidP="001A77BC" w:rsidRDefault="009B73F3" w14:paraId="23354410" w14:textId="77777777">
            <w:pPr>
              <w:numPr>
                <w:ilvl w:val="1"/>
                <w:numId w:val="2"/>
              </w:numPr>
              <w:tabs>
                <w:tab w:val="num" w:pos="1134"/>
                <w:tab w:val="center" w:pos="8640"/>
              </w:tabs>
              <w:ind w:left="1134" w:hanging="414"/>
              <w:jc w:val="both"/>
            </w:pPr>
            <w:r w:rsidRPr="009B73F3">
              <w:t>reading on clock 1</w:t>
            </w:r>
          </w:p>
        </w:tc>
        <w:tc>
          <w:tcPr>
            <w:tcW w:w="4815" w:type="dxa"/>
            <w:vMerge/>
          </w:tcPr>
          <w:p w:rsidRPr="009B73F3" w:rsidR="009B73F3" w:rsidP="001A77BC" w:rsidRDefault="009B73F3" w14:paraId="64660EC0" w14:textId="77777777">
            <w:pPr>
              <w:numPr>
                <w:ilvl w:val="1"/>
                <w:numId w:val="2"/>
              </w:numPr>
              <w:tabs>
                <w:tab w:val="num" w:pos="1134"/>
                <w:tab w:val="center" w:pos="8640"/>
              </w:tabs>
              <w:ind w:left="1134" w:hanging="414"/>
              <w:jc w:val="both"/>
            </w:pPr>
          </w:p>
        </w:tc>
      </w:tr>
      <w:tr w:rsidRPr="009B73F3" w:rsidR="009B73F3" w:rsidTr="004E0C86" w14:paraId="4BB18A24" w14:textId="3ABF4C33">
        <w:tc>
          <w:tcPr>
            <w:tcW w:w="4815" w:type="dxa"/>
          </w:tcPr>
          <w:p w:rsidRPr="009B73F3" w:rsidR="009B73F3" w:rsidP="001A77BC" w:rsidRDefault="009B73F3" w14:paraId="63C3055C" w14:textId="77777777">
            <w:pPr>
              <w:numPr>
                <w:ilvl w:val="1"/>
                <w:numId w:val="2"/>
              </w:numPr>
              <w:tabs>
                <w:tab w:val="num" w:pos="1134"/>
                <w:tab w:val="center" w:pos="8640"/>
              </w:tabs>
              <w:ind w:left="1134" w:hanging="414"/>
              <w:jc w:val="both"/>
            </w:pPr>
            <w:r w:rsidRPr="009B73F3">
              <w:t>reading on clock 2</w:t>
            </w:r>
          </w:p>
        </w:tc>
        <w:tc>
          <w:tcPr>
            <w:tcW w:w="4815" w:type="dxa"/>
            <w:vMerge/>
          </w:tcPr>
          <w:p w:rsidRPr="009B73F3" w:rsidR="009B73F3" w:rsidP="001A77BC" w:rsidRDefault="009B73F3" w14:paraId="57DB1725" w14:textId="77777777">
            <w:pPr>
              <w:numPr>
                <w:ilvl w:val="1"/>
                <w:numId w:val="2"/>
              </w:numPr>
              <w:tabs>
                <w:tab w:val="num" w:pos="1134"/>
                <w:tab w:val="center" w:pos="8640"/>
              </w:tabs>
              <w:ind w:left="1134" w:hanging="414"/>
              <w:jc w:val="both"/>
            </w:pPr>
          </w:p>
        </w:tc>
      </w:tr>
      <w:tr w:rsidRPr="009B73F3" w:rsidR="009B73F3" w:rsidTr="004E0C86" w14:paraId="1C4C148E" w14:textId="4FB6B6B7">
        <w:tc>
          <w:tcPr>
            <w:tcW w:w="4815" w:type="dxa"/>
          </w:tcPr>
          <w:p w:rsidRPr="009B73F3" w:rsidR="009B73F3" w:rsidP="001A77BC" w:rsidRDefault="009B73F3" w14:paraId="750D5A3F" w14:textId="77777777">
            <w:pPr>
              <w:numPr>
                <w:ilvl w:val="1"/>
                <w:numId w:val="2"/>
              </w:numPr>
              <w:tabs>
                <w:tab w:val="num" w:pos="1134"/>
                <w:tab w:val="center" w:pos="8640"/>
              </w:tabs>
              <w:ind w:left="1134" w:hanging="414"/>
              <w:jc w:val="both"/>
            </w:pPr>
            <w:r w:rsidRPr="009B73F3">
              <w:t>reading on the stopwatch</w:t>
            </w:r>
          </w:p>
        </w:tc>
        <w:tc>
          <w:tcPr>
            <w:tcW w:w="4815" w:type="dxa"/>
            <w:vMerge/>
          </w:tcPr>
          <w:p w:rsidRPr="009B73F3" w:rsidR="009B73F3" w:rsidP="001A77BC" w:rsidRDefault="009B73F3" w14:paraId="2F8C7A93" w14:textId="77777777">
            <w:pPr>
              <w:numPr>
                <w:ilvl w:val="1"/>
                <w:numId w:val="2"/>
              </w:numPr>
              <w:tabs>
                <w:tab w:val="num" w:pos="1134"/>
                <w:tab w:val="center" w:pos="8640"/>
              </w:tabs>
              <w:ind w:left="1134" w:hanging="414"/>
              <w:jc w:val="both"/>
            </w:pPr>
          </w:p>
        </w:tc>
      </w:tr>
      <w:tr w:rsidRPr="009B73F3" w:rsidR="009B73F3" w:rsidTr="004E0C86" w14:paraId="5353B603" w14:textId="4D6A4D6C">
        <w:tc>
          <w:tcPr>
            <w:tcW w:w="4815" w:type="dxa"/>
          </w:tcPr>
          <w:p w:rsidRPr="009B73F3" w:rsidR="009B73F3" w:rsidP="001A77BC" w:rsidRDefault="009B73F3" w14:paraId="2DBD5431" w14:textId="77777777">
            <w:pPr>
              <w:numPr>
                <w:ilvl w:val="1"/>
                <w:numId w:val="2"/>
              </w:numPr>
              <w:tabs>
                <w:tab w:val="num" w:pos="1134"/>
                <w:tab w:val="center" w:pos="8640"/>
              </w:tabs>
              <w:ind w:left="1134" w:hanging="414"/>
              <w:jc w:val="both"/>
            </w:pPr>
            <w:r w:rsidRPr="009B73F3">
              <w:t>length of the car</w:t>
            </w:r>
          </w:p>
        </w:tc>
        <w:tc>
          <w:tcPr>
            <w:tcW w:w="4815" w:type="dxa"/>
            <w:vMerge/>
          </w:tcPr>
          <w:p w:rsidRPr="009B73F3" w:rsidR="009B73F3" w:rsidP="001A77BC" w:rsidRDefault="009B73F3" w14:paraId="0229103D" w14:textId="77777777">
            <w:pPr>
              <w:numPr>
                <w:ilvl w:val="1"/>
                <w:numId w:val="2"/>
              </w:numPr>
              <w:tabs>
                <w:tab w:val="num" w:pos="1134"/>
                <w:tab w:val="center" w:pos="8640"/>
              </w:tabs>
              <w:ind w:left="1134" w:hanging="414"/>
              <w:jc w:val="both"/>
            </w:pPr>
          </w:p>
        </w:tc>
      </w:tr>
      <w:tr w:rsidRPr="009B73F3" w:rsidR="009B73F3" w:rsidTr="004E0C86" w14:paraId="70645017" w14:textId="73996B5F">
        <w:tc>
          <w:tcPr>
            <w:tcW w:w="4815" w:type="dxa"/>
          </w:tcPr>
          <w:p w:rsidRPr="009B73F3" w:rsidR="009B73F3" w:rsidP="001A77BC" w:rsidRDefault="009B73F3" w14:paraId="4D7A859A" w14:textId="77777777">
            <w:pPr>
              <w:numPr>
                <w:ilvl w:val="1"/>
                <w:numId w:val="2"/>
              </w:numPr>
              <w:tabs>
                <w:tab w:val="num" w:pos="1134"/>
                <w:tab w:val="center" w:pos="8640"/>
              </w:tabs>
              <w:ind w:left="1134" w:hanging="414"/>
              <w:jc w:val="both"/>
            </w:pPr>
            <w:r w:rsidRPr="009B73F3">
              <w:t>distance PQ.</w:t>
            </w:r>
          </w:p>
        </w:tc>
        <w:tc>
          <w:tcPr>
            <w:tcW w:w="4815" w:type="dxa"/>
            <w:vMerge/>
          </w:tcPr>
          <w:p w:rsidRPr="009B73F3" w:rsidR="009B73F3" w:rsidP="001A77BC" w:rsidRDefault="009B73F3" w14:paraId="5FB8FE1E" w14:textId="77777777">
            <w:pPr>
              <w:numPr>
                <w:ilvl w:val="1"/>
                <w:numId w:val="2"/>
              </w:numPr>
              <w:tabs>
                <w:tab w:val="num" w:pos="1134"/>
                <w:tab w:val="center" w:pos="8640"/>
              </w:tabs>
              <w:ind w:left="1134" w:hanging="414"/>
              <w:jc w:val="both"/>
            </w:pPr>
          </w:p>
        </w:tc>
      </w:tr>
    </w:tbl>
    <w:p w:rsidR="007A447B" w:rsidP="009B73F3" w:rsidRDefault="007A447B" w14:paraId="12B229D9" w14:textId="7974907F">
      <w:pPr>
        <w:tabs>
          <w:tab w:val="center" w:pos="8640"/>
        </w:tabs>
        <w:ind w:right="790"/>
        <w:jc w:val="both"/>
      </w:pPr>
    </w:p>
    <w:p w:rsidR="00FD4A31" w:rsidP="00FD4A31" w:rsidRDefault="00FD4A31" w14:paraId="3DA558B3" w14:textId="77777777">
      <w:r>
        <w:t>SQA Higher Paper 1994</w:t>
      </w:r>
    </w:p>
    <w:p w:rsidR="00FD4A31" w:rsidP="00FD4A31" w:rsidRDefault="00FD4A31" w14:paraId="0B48B08F" w14:textId="77777777">
      <w:r>
        <w:t xml:space="preserve">During an experiment to measure the specific heat capacity of a liquid the relationship </w:t>
      </w:r>
      <m:oMath>
        <m:r>
          <w:rPr>
            <w:rFonts w:ascii="Cambria Math" w:hAnsi="Cambria Math"/>
          </w:rPr>
          <m:t>VIt=mc∆T</m:t>
        </m:r>
      </m:oMath>
      <w:r>
        <w:t xml:space="preserve"> is used</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863"/>
        <w:gridCol w:w="2835"/>
        <w:gridCol w:w="3682"/>
      </w:tblGrid>
      <w:tr w:rsidR="00FD4A31" w:rsidTr="00520463" w14:paraId="2EA26F05" w14:textId="77777777">
        <w:tc>
          <w:tcPr>
            <w:tcW w:w="2863" w:type="dxa"/>
          </w:tcPr>
          <w:p w:rsidR="00FD4A31" w:rsidP="00520463" w:rsidRDefault="00FD4A31" w14:paraId="7EAA1624" w14:textId="77777777">
            <w:r>
              <w:t>The following quantities are measured</w:t>
            </w:r>
          </w:p>
          <w:p w:rsidR="00FD4A31" w:rsidP="00520463" w:rsidRDefault="00FD4A31" w14:paraId="5E206C1F" w14:textId="77777777">
            <w:pPr>
              <w:ind w:left="318"/>
            </w:pPr>
            <w:r>
              <w:t xml:space="preserve">V= 12.0 </w:t>
            </w:r>
            <w:r>
              <w:rPr>
                <w:rFonts w:ascii="Symbol" w:hAnsi="Symbol" w:eastAsia="Symbol" w:cs="Symbol"/>
              </w:rPr>
              <w:t>±</w:t>
            </w:r>
            <w:r>
              <w:t xml:space="preserve"> 0.1 V </w:t>
            </w:r>
          </w:p>
          <w:p w:rsidR="00FD4A31" w:rsidP="00520463" w:rsidRDefault="00FD4A31" w14:paraId="1CE0C3A5" w14:textId="77777777">
            <w:pPr>
              <w:ind w:left="318"/>
            </w:pPr>
            <w:r>
              <w:t xml:space="preserve">I = 4.2 </w:t>
            </w:r>
            <w:r>
              <w:rPr>
                <w:rFonts w:ascii="Symbol" w:hAnsi="Symbol" w:eastAsia="Symbol" w:cs="Symbol"/>
              </w:rPr>
              <w:t>±</w:t>
            </w:r>
            <w:r>
              <w:t xml:space="preserve"> 0.1 A</w:t>
            </w:r>
          </w:p>
          <w:p w:rsidR="00FD4A31" w:rsidP="00520463" w:rsidRDefault="00FD4A31" w14:paraId="75BE575F" w14:textId="77777777">
            <w:pPr>
              <w:ind w:left="318"/>
            </w:pPr>
            <w:r>
              <w:t xml:space="preserve">t =300 </w:t>
            </w:r>
            <w:r>
              <w:rPr>
                <w:rFonts w:ascii="Symbol" w:hAnsi="Symbol" w:eastAsia="Symbol" w:cs="Symbol"/>
              </w:rPr>
              <w:t>±</w:t>
            </w:r>
            <w:r>
              <w:t xml:space="preserve"> 1s</w:t>
            </w:r>
          </w:p>
          <w:p w:rsidR="00FD4A31" w:rsidP="00520463" w:rsidRDefault="00FD4A31" w14:paraId="222ACDD3" w14:textId="77777777">
            <w:pPr>
              <w:ind w:left="318"/>
            </w:pPr>
            <w:r>
              <w:t>m=500</w:t>
            </w:r>
            <w:r>
              <w:rPr>
                <w:rFonts w:ascii="Symbol" w:hAnsi="Symbol" w:eastAsia="Symbol" w:cs="Symbol"/>
              </w:rPr>
              <w:t>±</w:t>
            </w:r>
            <w:r>
              <w:t xml:space="preserve"> 2 g</w:t>
            </w:r>
          </w:p>
          <w:p w:rsidR="00FD4A31" w:rsidP="00520463" w:rsidRDefault="00FD4A31" w14:paraId="5F26EA4C" w14:textId="77777777">
            <w:pPr>
              <w:ind w:left="318"/>
            </w:pPr>
            <w:r>
              <w:rPr>
                <w:rFonts w:ascii="Symbol" w:hAnsi="Symbol" w:eastAsia="Symbol" w:cs="Symbol"/>
              </w:rPr>
              <w:t>D</w:t>
            </w:r>
            <w:r>
              <w:t xml:space="preserve">T = 15 </w:t>
            </w:r>
            <w:r>
              <w:rPr>
                <w:rFonts w:ascii="Symbol" w:hAnsi="Symbol" w:eastAsia="Symbol" w:cs="Symbol"/>
              </w:rPr>
              <w:t>±</w:t>
            </w:r>
            <w:r>
              <w:t xml:space="preserve"> 1 </w:t>
            </w:r>
            <w:r>
              <w:rPr>
                <w:rFonts w:ascii="Symbol" w:hAnsi="Symbol" w:eastAsia="Symbol" w:cs="Symbol"/>
              </w:rPr>
              <w:t>°</w:t>
            </w:r>
            <w:r>
              <w:t>C</w:t>
            </w:r>
          </w:p>
          <w:p w:rsidR="00FD4A31" w:rsidP="00520463" w:rsidRDefault="00FD4A31" w14:paraId="72F74CDC" w14:textId="77777777"/>
        </w:tc>
        <w:tc>
          <w:tcPr>
            <w:tcW w:w="2835" w:type="dxa"/>
          </w:tcPr>
          <w:p w:rsidRPr="00471C39" w:rsidR="00FD4A31" w:rsidP="00520463" w:rsidRDefault="00FD4A31" w14:paraId="144C794E" w14:textId="77777777">
            <w:pPr>
              <w:rPr>
                <w:b/>
                <w:color w:val="FF0000"/>
              </w:rPr>
            </w:pPr>
            <m:oMathPara>
              <m:oMath>
                <m:r>
                  <m:rPr>
                    <m:sty m:val="bi"/>
                  </m:rPr>
                  <w:rPr>
                    <w:rFonts w:ascii="Cambria Math" w:hAnsi="Cambria Math"/>
                    <w:color w:val="FF0000"/>
                  </w:rPr>
                  <m:t>V=</m:t>
                </m:r>
                <m:f>
                  <m:fPr>
                    <m:ctrlPr>
                      <w:rPr>
                        <w:rFonts w:ascii="Cambria Math" w:hAnsi="Cambria Math"/>
                        <w:b/>
                        <w:i/>
                        <w:color w:val="FF0000"/>
                      </w:rPr>
                    </m:ctrlPr>
                  </m:fPr>
                  <m:num>
                    <m:r>
                      <m:rPr>
                        <m:sty m:val="bi"/>
                      </m:rPr>
                      <w:rPr>
                        <w:rFonts w:ascii="Cambria Math" w:hAnsi="Cambria Math"/>
                        <w:color w:val="FF0000"/>
                      </w:rPr>
                      <m:t>0.1</m:t>
                    </m:r>
                  </m:num>
                  <m:den>
                    <m:r>
                      <m:rPr>
                        <m:sty m:val="bi"/>
                      </m:rPr>
                      <w:rPr>
                        <w:rFonts w:ascii="Cambria Math" w:hAnsi="Cambria Math"/>
                        <w:color w:val="FF0000"/>
                      </w:rPr>
                      <m:t>12</m:t>
                    </m:r>
                  </m:den>
                </m:f>
                <m:r>
                  <m:rPr>
                    <m:sty m:val="bi"/>
                  </m:rPr>
                  <w:rPr>
                    <w:rFonts w:ascii="Cambria Math" w:hAnsi="Cambria Math"/>
                    <w:color w:val="FF0000"/>
                  </w:rPr>
                  <m:t>=0.8%</m:t>
                </m:r>
              </m:oMath>
            </m:oMathPara>
          </w:p>
          <w:p w:rsidRPr="00471C39" w:rsidR="00FD4A31" w:rsidP="00520463" w:rsidRDefault="00FD4A31" w14:paraId="54D64FAB" w14:textId="77777777">
            <w:pPr>
              <w:rPr>
                <w:b/>
                <w:color w:val="FF0000"/>
              </w:rPr>
            </w:pPr>
            <m:oMathPara>
              <m:oMath>
                <m:r>
                  <m:rPr>
                    <m:sty m:val="bi"/>
                  </m:rPr>
                  <w:rPr>
                    <w:rFonts w:ascii="Cambria Math" w:hAnsi="Cambria Math"/>
                    <w:color w:val="FF0000"/>
                  </w:rPr>
                  <m:t>I=</m:t>
                </m:r>
                <m:f>
                  <m:fPr>
                    <m:ctrlPr>
                      <w:rPr>
                        <w:rFonts w:ascii="Cambria Math" w:hAnsi="Cambria Math"/>
                        <w:b/>
                        <w:i/>
                        <w:color w:val="FF0000"/>
                      </w:rPr>
                    </m:ctrlPr>
                  </m:fPr>
                  <m:num>
                    <m:r>
                      <m:rPr>
                        <m:sty m:val="bi"/>
                      </m:rPr>
                      <w:rPr>
                        <w:rFonts w:ascii="Cambria Math" w:hAnsi="Cambria Math"/>
                        <w:color w:val="FF0000"/>
                      </w:rPr>
                      <m:t>0.1</m:t>
                    </m:r>
                  </m:num>
                  <m:den>
                    <m:r>
                      <m:rPr>
                        <m:sty m:val="bi"/>
                      </m:rPr>
                      <w:rPr>
                        <w:rFonts w:ascii="Cambria Math" w:hAnsi="Cambria Math"/>
                        <w:color w:val="FF0000"/>
                      </w:rPr>
                      <m:t>4.2</m:t>
                    </m:r>
                  </m:den>
                </m:f>
                <m:r>
                  <m:rPr>
                    <m:sty m:val="bi"/>
                  </m:rPr>
                  <w:rPr>
                    <w:rFonts w:ascii="Cambria Math" w:hAnsi="Cambria Math"/>
                    <w:color w:val="FF0000"/>
                  </w:rPr>
                  <m:t>=2 %</m:t>
                </m:r>
              </m:oMath>
            </m:oMathPara>
          </w:p>
          <w:p w:rsidRPr="00471C39" w:rsidR="00FD4A31" w:rsidP="00520463" w:rsidRDefault="00FD4A31" w14:paraId="3CBB4503" w14:textId="77777777">
            <w:pPr>
              <w:rPr>
                <w:b/>
                <w:color w:val="FF0000"/>
              </w:rPr>
            </w:pPr>
            <m:oMathPara>
              <m:oMath>
                <m:r>
                  <m:rPr>
                    <m:sty m:val="bi"/>
                  </m:rPr>
                  <w:rPr>
                    <w:rFonts w:ascii="Cambria Math" w:hAnsi="Cambria Math"/>
                    <w:color w:val="FF0000"/>
                  </w:rPr>
                  <m:t>t=</m:t>
                </m:r>
                <m:f>
                  <m:fPr>
                    <m:ctrlPr>
                      <w:rPr>
                        <w:rFonts w:ascii="Cambria Math" w:hAnsi="Cambria Math"/>
                        <w:b/>
                        <w:i/>
                        <w:color w:val="FF0000"/>
                      </w:rPr>
                    </m:ctrlPr>
                  </m:fPr>
                  <m:num>
                    <m:r>
                      <m:rPr>
                        <m:sty m:val="bi"/>
                      </m:rPr>
                      <w:rPr>
                        <w:rFonts w:ascii="Cambria Math" w:hAnsi="Cambria Math"/>
                        <w:color w:val="FF0000"/>
                      </w:rPr>
                      <m:t>1</m:t>
                    </m:r>
                  </m:num>
                  <m:den>
                    <m:r>
                      <m:rPr>
                        <m:sty m:val="bi"/>
                      </m:rPr>
                      <w:rPr>
                        <w:rFonts w:ascii="Cambria Math" w:hAnsi="Cambria Math"/>
                        <w:color w:val="FF0000"/>
                      </w:rPr>
                      <m:t>300</m:t>
                    </m:r>
                  </m:den>
                </m:f>
                <m:r>
                  <m:rPr>
                    <m:sty m:val="bi"/>
                  </m:rPr>
                  <w:rPr>
                    <w:rFonts w:ascii="Cambria Math" w:hAnsi="Cambria Math"/>
                    <w:color w:val="FF0000"/>
                  </w:rPr>
                  <m:t>=0.3%</m:t>
                </m:r>
              </m:oMath>
            </m:oMathPara>
          </w:p>
          <w:p w:rsidRPr="00471C39" w:rsidR="00FD4A31" w:rsidP="00520463" w:rsidRDefault="00FD4A31" w14:paraId="77536186" w14:textId="77777777">
            <w:pPr>
              <w:rPr>
                <w:b/>
                <w:color w:val="FF0000"/>
              </w:rPr>
            </w:pPr>
            <m:oMathPara>
              <m:oMath>
                <m:r>
                  <m:rPr>
                    <m:sty m:val="bi"/>
                  </m:rPr>
                  <w:rPr>
                    <w:rFonts w:ascii="Cambria Math" w:hAnsi="Cambria Math"/>
                    <w:color w:val="FF0000"/>
                  </w:rPr>
                  <m:t>m=</m:t>
                </m:r>
                <m:f>
                  <m:fPr>
                    <m:ctrlPr>
                      <w:rPr>
                        <w:rFonts w:ascii="Cambria Math" w:hAnsi="Cambria Math"/>
                        <w:b/>
                        <w:i/>
                        <w:color w:val="FF0000"/>
                      </w:rPr>
                    </m:ctrlPr>
                  </m:fPr>
                  <m:num>
                    <m:r>
                      <m:rPr>
                        <m:sty m:val="bi"/>
                      </m:rPr>
                      <w:rPr>
                        <w:rFonts w:ascii="Cambria Math" w:hAnsi="Cambria Math"/>
                        <w:color w:val="FF0000"/>
                      </w:rPr>
                      <m:t>2</m:t>
                    </m:r>
                  </m:num>
                  <m:den>
                    <m:r>
                      <m:rPr>
                        <m:sty m:val="bi"/>
                      </m:rPr>
                      <w:rPr>
                        <w:rFonts w:ascii="Cambria Math" w:hAnsi="Cambria Math"/>
                        <w:color w:val="FF0000"/>
                      </w:rPr>
                      <m:t>500</m:t>
                    </m:r>
                  </m:den>
                </m:f>
                <m:r>
                  <m:rPr>
                    <m:sty m:val="bi"/>
                  </m:rPr>
                  <w:rPr>
                    <w:rFonts w:ascii="Cambria Math" w:hAnsi="Cambria Math"/>
                    <w:color w:val="FF0000"/>
                  </w:rPr>
                  <m:t>=0.4%</m:t>
                </m:r>
              </m:oMath>
            </m:oMathPara>
          </w:p>
          <w:p w:rsidRPr="00471C39" w:rsidR="00FD4A31" w:rsidP="00520463" w:rsidRDefault="00FD4A31" w14:paraId="54D13EED" w14:textId="77777777">
            <w:pPr>
              <w:rPr>
                <w:b/>
              </w:rPr>
            </w:pPr>
            <m:oMathPara>
              <m:oMath>
                <m:r>
                  <m:rPr>
                    <m:sty m:val="bi"/>
                  </m:rPr>
                  <w:rPr>
                    <w:rFonts w:ascii="Cambria Math" w:hAnsi="Cambria Math"/>
                    <w:b/>
                    <w:i/>
                    <w:color w:val="FF0000"/>
                  </w:rPr>
                  <w:t>D</w:t>
                </m:r>
                <m:r>
                  <m:rPr>
                    <m:sty m:val="bi"/>
                  </m:rPr>
                  <w:rPr>
                    <w:rFonts w:ascii="Cambria Math" w:hAnsi="Cambria Math"/>
                    <w:color w:val="FF0000"/>
                  </w:rPr>
                  <m:t>T</m:t>
                </m:r>
                <m:r>
                  <m:rPr>
                    <m:sty m:val="p"/>
                  </m:rPr>
                  <w:rPr>
                    <w:rFonts w:ascii="Cambria Math" w:hAnsi="Cambria Math"/>
                  </w:rPr>
                  <m:t xml:space="preserve"> </m:t>
                </m:r>
                <m:r>
                  <m:rPr>
                    <m:sty m:val="bi"/>
                  </m:rPr>
                  <w:rPr>
                    <w:rFonts w:ascii="Cambria Math" w:hAnsi="Cambria Math"/>
                    <w:color w:val="FF0000"/>
                  </w:rPr>
                  <m:t>=</m:t>
                </m:r>
                <m:f>
                  <m:fPr>
                    <m:ctrlPr>
                      <w:rPr>
                        <w:rFonts w:ascii="Cambria Math" w:hAnsi="Cambria Math"/>
                        <w:b/>
                        <w:i/>
                        <w:color w:val="FF0000"/>
                      </w:rPr>
                    </m:ctrlPr>
                  </m:fPr>
                  <m:num>
                    <m:r>
                      <m:rPr>
                        <m:sty m:val="bi"/>
                      </m:rPr>
                      <w:rPr>
                        <w:rFonts w:ascii="Cambria Math" w:hAnsi="Cambria Math"/>
                        <w:color w:val="FF0000"/>
                      </w:rPr>
                      <m:t>1</m:t>
                    </m:r>
                  </m:num>
                  <m:den>
                    <m:r>
                      <m:rPr>
                        <m:sty m:val="bi"/>
                      </m:rPr>
                      <w:rPr>
                        <w:rFonts w:ascii="Cambria Math" w:hAnsi="Cambria Math"/>
                        <w:color w:val="FF0000"/>
                      </w:rPr>
                      <m:t>15</m:t>
                    </m:r>
                  </m:den>
                </m:f>
                <m:r>
                  <m:rPr>
                    <m:sty m:val="bi"/>
                  </m:rPr>
                  <w:rPr>
                    <w:rFonts w:ascii="Cambria Math" w:hAnsi="Cambria Math"/>
                    <w:color w:val="FF0000"/>
                  </w:rPr>
                  <m:t>=7%</m:t>
                </m:r>
              </m:oMath>
            </m:oMathPara>
          </w:p>
        </w:tc>
        <w:tc>
          <w:tcPr>
            <w:tcW w:w="3682" w:type="dxa"/>
          </w:tcPr>
          <w:p w:rsidR="00FD4A31" w:rsidP="00520463" w:rsidRDefault="00FD4A31" w14:paraId="7A67DDA4" w14:textId="77777777">
            <w:r>
              <w:t>Which quantity will contribute the largest uncertainty to the final answer for the specific heat capacity, c?</w:t>
            </w:r>
          </w:p>
          <w:p w:rsidR="00FD4A31" w:rsidP="00520463" w:rsidRDefault="00FD4A31" w14:paraId="7DAECAB8" w14:textId="77777777">
            <w:pPr>
              <w:ind w:left="459"/>
            </w:pPr>
            <w:r>
              <w:t>A Voltage</w:t>
            </w:r>
          </w:p>
          <w:p w:rsidR="00FD4A31" w:rsidP="00520463" w:rsidRDefault="00FD4A31" w14:paraId="35A3F5A5" w14:textId="77777777">
            <w:pPr>
              <w:ind w:left="459"/>
            </w:pPr>
            <w:r>
              <w:t>B Current</w:t>
            </w:r>
          </w:p>
          <w:p w:rsidR="00FD4A31" w:rsidP="00520463" w:rsidRDefault="00FD4A31" w14:paraId="6E139E12" w14:textId="77777777">
            <w:pPr>
              <w:ind w:left="459"/>
            </w:pPr>
            <w:r>
              <w:t>C Time</w:t>
            </w:r>
          </w:p>
          <w:p w:rsidR="00FD4A31" w:rsidP="00520463" w:rsidRDefault="00FD4A31" w14:paraId="01A3FE4C" w14:textId="77777777">
            <w:pPr>
              <w:ind w:left="459"/>
            </w:pPr>
            <w:r>
              <w:t>D mass</w:t>
            </w:r>
          </w:p>
          <w:p w:rsidRPr="00066D9B" w:rsidR="00FD4A31" w:rsidP="00520463" w:rsidRDefault="00FD4A31" w14:paraId="0B5F5080" w14:textId="77777777">
            <w:pPr>
              <w:ind w:left="459"/>
              <w:rPr>
                <w:b/>
                <w:color w:val="FF0000"/>
              </w:rPr>
            </w:pPr>
            <w:r w:rsidRPr="00066D9B">
              <w:rPr>
                <w:b/>
                <w:color w:val="FF0000"/>
              </w:rPr>
              <w:t>E temperature difference</w:t>
            </w:r>
          </w:p>
          <w:p w:rsidR="00FD4A31" w:rsidP="00520463" w:rsidRDefault="00FD4A31" w14:paraId="629FFC64" w14:textId="77777777">
            <w:pPr>
              <w:ind w:left="459"/>
            </w:pPr>
          </w:p>
        </w:tc>
      </w:tr>
    </w:tbl>
    <w:p w:rsidR="00B608C7" w:rsidRDefault="00B608C7" w14:paraId="194B0A4A" w14:textId="71E2A2E8">
      <w:pPr>
        <w:rPr>
          <w:sz w:val="22"/>
          <w:szCs w:val="22"/>
        </w:rPr>
      </w:pPr>
    </w:p>
    <w:p w:rsidR="00C25480" w:rsidRDefault="00C25480" w14:paraId="548C456D" w14:textId="4A51123D">
      <w:pPr>
        <w:rPr>
          <w:sz w:val="22"/>
          <w:szCs w:val="22"/>
        </w:rPr>
      </w:pPr>
      <w:r>
        <w:rPr>
          <w:sz w:val="22"/>
          <w:szCs w:val="22"/>
        </w:rPr>
        <w:br w:type="page"/>
      </w:r>
    </w:p>
    <w:p w:rsidR="00190D22" w:rsidP="00805FB6" w:rsidRDefault="00190D22" w14:paraId="31F39D66" w14:textId="77777777">
      <w:pPr>
        <w:rPr>
          <w:sz w:val="22"/>
          <w:szCs w:val="22"/>
        </w:rPr>
      </w:pPr>
    </w:p>
    <w:p w:rsidR="003D12BA" w:rsidP="003D12BA" w:rsidRDefault="003D12BA" w14:paraId="674F7183" w14:textId="7ED57138">
      <w:pPr>
        <w:pStyle w:val="Heading1"/>
      </w:pPr>
      <w:bookmarkStart w:name="_Toc515783252" w:id="0"/>
      <w:r>
        <w:t xml:space="preserve">Quantifying </w:t>
      </w:r>
      <w:r w:rsidR="0053589E">
        <w:t xml:space="preserve">RANDOM </w:t>
      </w:r>
      <w:r>
        <w:t>Uncertainties</w:t>
      </w:r>
      <w:bookmarkEnd w:id="0"/>
    </w:p>
    <w:p w:rsidR="003D12BA" w:rsidP="003D12BA" w:rsidRDefault="003D12BA" w14:paraId="6DC2AA4B" w14:textId="77777777">
      <w:pPr>
        <w:rPr>
          <w:b/>
          <w:bCs/>
          <w:color w:val="0000FF"/>
        </w:rPr>
      </w:pPr>
    </w:p>
    <w:p w:rsidR="003D12BA" w:rsidP="003D12BA" w:rsidRDefault="003D12BA" w14:paraId="600BFB2D" w14:textId="77777777">
      <w:pPr>
        <w:pStyle w:val="Heading2"/>
      </w:pPr>
      <w:bookmarkStart w:name="_Toc515783253" w:id="1"/>
      <w:r>
        <w:t>Find the mean</w:t>
      </w:r>
      <w:bookmarkEnd w:id="1"/>
    </w:p>
    <w:p w:rsidR="003D12BA" w:rsidP="003D12BA" w:rsidRDefault="003D12BA" w14:paraId="46AFD7F8" w14:textId="77777777">
      <w:pPr>
        <w:rPr>
          <w:b/>
          <w:bCs/>
          <w:color w:val="0000FF"/>
        </w:rPr>
      </w:pPr>
      <w:r>
        <w:rPr>
          <w:b/>
          <w:bCs/>
          <w:color w:val="0000FF"/>
          <w:position w:val="-24"/>
        </w:rPr>
        <w:object w:dxaOrig="3180" w:dyaOrig="620" w14:anchorId="7035DF3B">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59pt;height:31.5pt" o:ole="" type="#_x0000_t75">
            <v:imagedata o:title="" r:id="rId9"/>
          </v:shape>
          <o:OLEObject Type="Embed" ProgID="Equation.3" ShapeID="_x0000_i1025" DrawAspect="Content" ObjectID="_1685468416" r:id="rId10"/>
        </w:object>
      </w:r>
    </w:p>
    <w:p w:rsidR="003D12BA" w:rsidP="003D12BA" w:rsidRDefault="003D12BA" w14:paraId="62FD3123" w14:textId="77777777">
      <w:pPr>
        <w:rPr>
          <w:b/>
          <w:bCs/>
          <w:color w:val="0000FF"/>
          <w:u w:val="wavyDouble"/>
        </w:rPr>
      </w:pPr>
      <w:r>
        <w:rPr>
          <w:b/>
          <w:bCs/>
          <w:color w:val="0000FF"/>
        </w:rPr>
        <w:t>This is the best estimate of the “true” value but not necessary the “true” value</w:t>
      </w:r>
    </w:p>
    <w:p w:rsidR="003D12BA" w:rsidP="003D12BA" w:rsidRDefault="003D12BA" w14:paraId="26530912" w14:textId="77777777">
      <w:pPr>
        <w:rPr>
          <w:b/>
          <w:bCs/>
          <w:color w:val="0000FF"/>
          <w:u w:val="wavyDouble"/>
        </w:rPr>
      </w:pPr>
      <w:r>
        <w:rPr>
          <w:b/>
          <w:bCs/>
          <w:noProof/>
          <w:color w:val="0000FF"/>
          <w:u w:val="wavyDouble"/>
          <w:lang w:eastAsia="en-GB"/>
        </w:rPr>
        <mc:AlternateContent>
          <mc:Choice Requires="wps">
            <w:drawing>
              <wp:anchor distT="0" distB="0" distL="114300" distR="114300" simplePos="0" relativeHeight="251659264" behindDoc="0" locked="0" layoutInCell="1" allowOverlap="1" wp14:anchorId="54E7A573" wp14:editId="55C31FB7">
                <wp:simplePos x="0" y="0"/>
                <wp:positionH relativeFrom="column">
                  <wp:posOffset>2606040</wp:posOffset>
                </wp:positionH>
                <wp:positionV relativeFrom="paragraph">
                  <wp:posOffset>13970</wp:posOffset>
                </wp:positionV>
                <wp:extent cx="289560" cy="571500"/>
                <wp:effectExtent l="18415" t="7620" r="25400" b="11430"/>
                <wp:wrapNone/>
                <wp:docPr id="377" name="Down Arrow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571500"/>
                        </a:xfrm>
                        <a:prstGeom prst="downArrow">
                          <a:avLst>
                            <a:gd name="adj1" fmla="val 50000"/>
                            <a:gd name="adj2" fmla="val 49342"/>
                          </a:avLst>
                        </a:prstGeom>
                        <a:solidFill>
                          <a:srgbClr val="33CC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96BC790">
              <v:shapetype id="_x0000_t67" coordsize="21600,21600" o:spt="67" adj="16200,5400" path="m0@0l@1@0@1,0@2,0@2@0,21600@0,10800,21600xe" w14:anchorId="00032C9E">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Down Arrow 377" style="position:absolute;margin-left:205.2pt;margin-top:1.1pt;width:22.8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3cc" type="#_x0000_t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"/>
            </w:pict>
          </mc:Fallback>
        </mc:AlternateContent>
      </w:r>
    </w:p>
    <w:p w:rsidR="003D12BA" w:rsidP="003D12BA" w:rsidRDefault="003D12BA" w14:paraId="5A8FCCF5" w14:textId="77777777">
      <w:pPr>
        <w:rPr>
          <w:b/>
          <w:bCs/>
          <w:color w:val="0000FF"/>
          <w:u w:val="wavyDouble"/>
        </w:rPr>
      </w:pPr>
    </w:p>
    <w:p w:rsidR="003D12BA" w:rsidP="003D12BA" w:rsidRDefault="003D12BA" w14:paraId="59B6AF8A" w14:textId="77777777">
      <w:pPr>
        <w:rPr>
          <w:b/>
          <w:bCs/>
          <w:color w:val="0000FF"/>
          <w:u w:val="wavyDouble"/>
        </w:rPr>
      </w:pPr>
    </w:p>
    <w:p w:rsidR="003D12BA" w:rsidP="003D12BA" w:rsidRDefault="003D12BA" w14:paraId="5079277C" w14:textId="77777777">
      <w:pPr>
        <w:pStyle w:val="Heading2"/>
      </w:pPr>
      <w:bookmarkStart w:name="_Toc515783254" w:id="2"/>
      <w:r>
        <w:t>Find the approximate random uncertainty in the mean (absolute uncertainty)</w:t>
      </w:r>
      <w:bookmarkEnd w:id="2"/>
    </w:p>
    <w:p w:rsidR="003D12BA" w:rsidP="003D12BA" w:rsidRDefault="003D12BA" w14:paraId="52EC9E88" w14:textId="77777777">
      <w:pPr>
        <w:rPr>
          <w:b/>
          <w:bCs/>
          <w:color w:val="0000FF"/>
        </w:rPr>
      </w:pPr>
      <w:r>
        <w:rPr>
          <w:b/>
          <w:bCs/>
          <w:color w:val="0000FF"/>
          <w:position w:val="-24"/>
        </w:rPr>
        <w:object w:dxaOrig="6399" w:dyaOrig="620" w14:anchorId="5DC1D2D8">
          <v:shape id="_x0000_i1026" style="width:322.5pt;height:31.5pt" o:ole="" type="#_x0000_t75">
            <v:imagedata o:title="" r:id="rId11"/>
          </v:shape>
          <o:OLEObject Type="Embed" ProgID="Equation.3" ShapeID="_x0000_i1026" DrawAspect="Content" ObjectID="_1685468417" r:id="rId12"/>
        </w:object>
      </w:r>
    </w:p>
    <w:p w:rsidRPr="00E42C78" w:rsidR="003D12BA" w:rsidP="003D12BA" w:rsidRDefault="003D12BA" w14:paraId="5A8AA31E" w14:textId="77777777">
      <w:pPr>
        <w:jc w:val="center"/>
        <w:rPr>
          <w:rFonts w:ascii="Trebuchet MS" w:hAnsi="Trebuchet MS"/>
          <w:b/>
          <w:bCs/>
          <w:color w:val="0000FF"/>
        </w:rPr>
      </w:pPr>
    </w:p>
    <w:p w:rsidR="003D12BA" w:rsidP="003D12BA" w:rsidRDefault="003D12BA" w14:paraId="13A09C54" w14:textId="77777777">
      <w:pPr>
        <w:rPr>
          <w:b/>
          <w:bCs/>
          <w:color w:val="0000FF"/>
        </w:rPr>
      </w:pPr>
      <m:oMathPara>
        <m:oMath>
          <m:r>
            <m:rPr>
              <m:sty m:val="b"/>
            </m:rPr>
            <w:rPr>
              <w:rFonts w:ascii="Cambria Math" w:hAnsi="Cambria Math"/>
              <w:sz w:val="28"/>
              <w:szCs w:val="28"/>
            </w:rPr>
            <m:t>Δ</m:t>
          </m:r>
          <m:r>
            <m:rPr>
              <m:sty m:val="bi"/>
            </m:rPr>
            <w:rPr>
              <w:rFonts w:ascii="Cambria Math" w:hAnsi="Cambria Math"/>
              <w:sz w:val="28"/>
              <w:szCs w:val="28"/>
            </w:rPr>
            <m:t>R=</m:t>
          </m:r>
          <m:f>
            <m:fPr>
              <m:ctrlPr>
                <w:rPr>
                  <w:rFonts w:ascii="Cambria Math" w:hAnsi="Cambria Math"/>
                  <w:b/>
                  <w:i/>
                  <w:sz w:val="28"/>
                  <w:szCs w:val="28"/>
                </w:rPr>
              </m:ctrlPr>
            </m:fPr>
            <m:num>
              <m:sSub>
                <m:sSubPr>
                  <m:ctrlPr>
                    <w:rPr>
                      <w:rFonts w:ascii="Cambria Math" w:hAnsi="Cambria Math"/>
                      <w:b/>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max</m:t>
                  </m:r>
                </m:sub>
              </m:sSub>
              <m:r>
                <m:rPr>
                  <m:sty m:val="bi"/>
                </m:rPr>
                <w:rPr>
                  <w:rFonts w:ascii="Cambria Math" w:hAnsi="Cambria Math"/>
                  <w:sz w:val="28"/>
                  <w:szCs w:val="28"/>
                </w:rPr>
                <m:t>-</m:t>
              </m:r>
              <m:sSub>
                <m:sSubPr>
                  <m:ctrlPr>
                    <w:rPr>
                      <w:rFonts w:ascii="Cambria Math" w:hAnsi="Cambria Math"/>
                      <w:b/>
                      <w:i/>
                      <w:sz w:val="28"/>
                      <w:szCs w:val="28"/>
                    </w:rPr>
                  </m:ctrlPr>
                </m:sSubPr>
                <m:e>
                  <m:r>
                    <m:rPr>
                      <m:sty m:val="bi"/>
                    </m:rPr>
                    <w:rPr>
                      <w:rFonts w:ascii="Cambria Math" w:hAnsi="Cambria Math"/>
                      <w:sz w:val="28"/>
                      <w:szCs w:val="28"/>
                    </w:rPr>
                    <m:t>R</m:t>
                  </m:r>
                </m:e>
                <m:sub>
                  <m:r>
                    <m:rPr>
                      <m:sty m:val="bi"/>
                    </m:rPr>
                    <w:rPr>
                      <w:rFonts w:ascii="Cambria Math" w:hAnsi="Cambria Math"/>
                      <w:sz w:val="28"/>
                      <w:szCs w:val="28"/>
                    </w:rPr>
                    <m:t>min</m:t>
                  </m:r>
                </m:sub>
              </m:sSub>
            </m:num>
            <m:den>
              <m:r>
                <m:rPr>
                  <m:sty m:val="bi"/>
                </m:rPr>
                <w:rPr>
                  <w:rFonts w:ascii="Cambria Math" w:hAnsi="Cambria Math"/>
                  <w:sz w:val="28"/>
                  <w:szCs w:val="28"/>
                </w:rPr>
                <m:t>n</m:t>
              </m:r>
            </m:den>
          </m:f>
        </m:oMath>
      </m:oMathPara>
    </w:p>
    <w:p w:rsidR="003D12BA" w:rsidP="003D12BA" w:rsidRDefault="003D12BA" w14:paraId="139A019C" w14:textId="77777777">
      <w:pPr>
        <w:rPr>
          <w:b/>
          <w:bCs/>
          <w:i/>
          <w:iCs/>
          <w:color w:val="0000FF"/>
        </w:rPr>
      </w:pPr>
      <w:r>
        <w:rPr>
          <w:b/>
          <w:bCs/>
          <w:color w:val="0000FF"/>
        </w:rPr>
        <w:t xml:space="preserve">This can be written as </w:t>
      </w:r>
      <w:r>
        <w:rPr>
          <w:b/>
          <w:bCs/>
          <w:color w:val="0000FF"/>
          <w:position w:val="-24"/>
        </w:rPr>
        <w:object w:dxaOrig="2040" w:dyaOrig="620" w14:anchorId="6FC27E69">
          <v:shape id="_x0000_i1027" style="width:100.45pt;height:31.5pt" o:ole="" type="#_x0000_t75">
            <v:imagedata o:title="" r:id="rId13"/>
          </v:shape>
          <o:OLEObject Type="Embed" ProgID="Equation.3" ShapeID="_x0000_i1027" DrawAspect="Content" ObjectID="_1685468418" r:id="rId14"/>
        </w:object>
      </w:r>
      <w:r>
        <w:rPr>
          <w:b/>
          <w:bCs/>
          <w:color w:val="0000FF"/>
        </w:rPr>
        <w:t xml:space="preserve"> and it is sometimes referred to as </w:t>
      </w:r>
      <w:r>
        <w:rPr>
          <w:b/>
          <w:bCs/>
          <w:i/>
          <w:iCs/>
          <w:color w:val="0000FF"/>
        </w:rPr>
        <w:t>average deviation or absolute uncertainty.</w:t>
      </w:r>
    </w:p>
    <w:p w:rsidR="003D12BA" w:rsidP="003D12BA" w:rsidRDefault="003D12BA" w14:paraId="163C6EE7" w14:textId="77777777">
      <w:pPr>
        <w:rPr>
          <w:b/>
          <w:bCs/>
          <w:color w:val="0000FF"/>
        </w:rPr>
      </w:pPr>
      <w:r>
        <w:rPr>
          <w:noProof/>
          <w:lang w:eastAsia="en-GB"/>
        </w:rPr>
        <mc:AlternateContent>
          <mc:Choice Requires="wpg">
            <w:drawing>
              <wp:anchor distT="0" distB="0" distL="114300" distR="114300" simplePos="0" relativeHeight="251660288" behindDoc="0" locked="0" layoutInCell="1" allowOverlap="1" wp14:anchorId="39A4A1BF" wp14:editId="7BDDF64C">
                <wp:simplePos x="0" y="0"/>
                <wp:positionH relativeFrom="column">
                  <wp:posOffset>1728470</wp:posOffset>
                </wp:positionH>
                <wp:positionV relativeFrom="paragraph">
                  <wp:posOffset>72390</wp:posOffset>
                </wp:positionV>
                <wp:extent cx="4271010" cy="1061720"/>
                <wp:effectExtent l="19050" t="19050" r="15240" b="24130"/>
                <wp:wrapSquare wrapText="bothSides"/>
                <wp:docPr id="374"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71010" cy="1061720"/>
                          <a:chOff x="3912" y="6300"/>
                          <a:chExt cx="6726" cy="1672"/>
                        </a:xfrm>
                      </wpg:grpSpPr>
                      <wps:wsp>
                        <wps:cNvPr id="375" name="AutoShape 25"/>
                        <wps:cNvSpPr>
                          <a:spLocks noChangeArrowheads="1"/>
                        </wps:cNvSpPr>
                        <wps:spPr bwMode="auto">
                          <a:xfrm rot="5400000">
                            <a:off x="3685" y="6527"/>
                            <a:ext cx="1611" cy="1158"/>
                          </a:xfrm>
                          <a:custGeom>
                            <a:avLst/>
                            <a:gdLst>
                              <a:gd name="G0" fmla="+- 6480 0 0"/>
                              <a:gd name="G1" fmla="+- 8640 0 0"/>
                              <a:gd name="G2" fmla="+- 6171 0 0"/>
                              <a:gd name="G3" fmla="+- 21600 0 6480"/>
                              <a:gd name="G4" fmla="+- 21600 0 8640"/>
                              <a:gd name="G5" fmla="*/ G0 21600 G3"/>
                              <a:gd name="G6" fmla="*/ G1 21600 G3"/>
                              <a:gd name="G7" fmla="*/ G2 G3 21600"/>
                              <a:gd name="G8" fmla="*/ 10800 21600 G3"/>
                              <a:gd name="G9" fmla="*/ G4 21600 G3"/>
                              <a:gd name="G10" fmla="+- 21600 0 G7"/>
                              <a:gd name="G11" fmla="+- G5 0 G8"/>
                              <a:gd name="G12" fmla="+- G6 0 G8"/>
                              <a:gd name="G13" fmla="*/ G12 G7 G11"/>
                              <a:gd name="G14" fmla="+- 21600 0 G13"/>
                              <a:gd name="G15" fmla="+- G0 0 10800"/>
                              <a:gd name="G16" fmla="+- G1 0 10800"/>
                              <a:gd name="G17" fmla="*/ G2 G16 G15"/>
                              <a:gd name="T0" fmla="*/ 10800 w 21600"/>
                              <a:gd name="T1" fmla="*/ 0 h 21600"/>
                              <a:gd name="T2" fmla="*/ 0 w 21600"/>
                              <a:gd name="T3" fmla="*/ 15429 h 21600"/>
                              <a:gd name="T4" fmla="*/ 10800 w 21600"/>
                              <a:gd name="T5" fmla="*/ 18514 h 21600"/>
                              <a:gd name="T6" fmla="*/ 21600 w 21600"/>
                              <a:gd name="T7" fmla="*/ 15429 h 21600"/>
                              <a:gd name="T8" fmla="*/ 17694720 60000 65536"/>
                              <a:gd name="T9" fmla="*/ 11796480 60000 65536"/>
                              <a:gd name="T10" fmla="*/ 5898240 60000 65536"/>
                              <a:gd name="T11" fmla="*/ 0 60000 65536"/>
                              <a:gd name="T12" fmla="*/ G13 w 21600"/>
                              <a:gd name="T13" fmla="*/ G6 h 21600"/>
                              <a:gd name="T14" fmla="*/ G14 w 21600"/>
                              <a:gd name="T15" fmla="*/ G9 h 21600"/>
                            </a:gdLst>
                            <a:ahLst/>
                            <a:cxnLst>
                              <a:cxn ang="T8">
                                <a:pos x="T0" y="T1"/>
                              </a:cxn>
                              <a:cxn ang="T9">
                                <a:pos x="T2" y="T3"/>
                              </a:cxn>
                              <a:cxn ang="T10">
                                <a:pos x="T4" y="T5"/>
                              </a:cxn>
                              <a:cxn ang="T11">
                                <a:pos x="T6" y="T7"/>
                              </a:cxn>
                            </a:cxnLst>
                            <a:rect l="T12" t="T13" r="T14" b="T15"/>
                            <a:pathLst>
                              <a:path w="21600" h="21600">
                                <a:moveTo>
                                  <a:pt x="10800" y="0"/>
                                </a:moveTo>
                                <a:lnTo>
                                  <a:pt x="6480" y="6171"/>
                                </a:lnTo>
                                <a:lnTo>
                                  <a:pt x="8640" y="6171"/>
                                </a:lnTo>
                                <a:lnTo>
                                  <a:pt x="8640" y="12343"/>
                                </a:lnTo>
                                <a:lnTo>
                                  <a:pt x="4320" y="12343"/>
                                </a:lnTo>
                                <a:lnTo>
                                  <a:pt x="4320" y="9257"/>
                                </a:lnTo>
                                <a:lnTo>
                                  <a:pt x="0" y="15429"/>
                                </a:lnTo>
                                <a:lnTo>
                                  <a:pt x="4320" y="21600"/>
                                </a:lnTo>
                                <a:lnTo>
                                  <a:pt x="4320" y="18514"/>
                                </a:lnTo>
                                <a:lnTo>
                                  <a:pt x="17280" y="18514"/>
                                </a:lnTo>
                                <a:lnTo>
                                  <a:pt x="17280" y="21600"/>
                                </a:lnTo>
                                <a:lnTo>
                                  <a:pt x="21600" y="15429"/>
                                </a:lnTo>
                                <a:lnTo>
                                  <a:pt x="17280" y="9257"/>
                                </a:lnTo>
                                <a:lnTo>
                                  <a:pt x="17280" y="12343"/>
                                </a:lnTo>
                                <a:lnTo>
                                  <a:pt x="12960" y="12343"/>
                                </a:lnTo>
                                <a:lnTo>
                                  <a:pt x="12960" y="6171"/>
                                </a:lnTo>
                                <a:lnTo>
                                  <a:pt x="15120" y="6171"/>
                                </a:lnTo>
                                <a:close/>
                              </a:path>
                            </a:pathLst>
                          </a:custGeom>
                          <a:solidFill>
                            <a:srgbClr val="33CCCC"/>
                          </a:solidFill>
                          <a:ln w="9525">
                            <a:solidFill>
                              <a:srgbClr val="000000"/>
                            </a:solidFill>
                            <a:miter lim="800000"/>
                            <a:headEnd/>
                            <a:tailEnd/>
                          </a:ln>
                        </wps:spPr>
                        <wps:bodyPr rot="0" vert="horz" wrap="square" lIns="91440" tIns="45720" rIns="91440" bIns="45720" anchor="t" anchorCtr="0" upright="1">
                          <a:noAutofit/>
                        </wps:bodyPr>
                      </wps:wsp>
                      <wps:wsp>
                        <wps:cNvPr id="376" name="Text Box 26"/>
                        <wps:cNvSpPr txBox="1">
                          <a:spLocks noChangeArrowheads="1"/>
                        </wps:cNvSpPr>
                        <wps:spPr bwMode="auto">
                          <a:xfrm>
                            <a:off x="5508" y="6360"/>
                            <a:ext cx="5130" cy="1612"/>
                          </a:xfrm>
                          <a:prstGeom prst="rect">
                            <a:avLst/>
                          </a:prstGeom>
                          <a:solidFill>
                            <a:srgbClr val="FFFFFF"/>
                          </a:solidFill>
                          <a:ln w="9525">
                            <a:solidFill>
                              <a:srgbClr val="000000"/>
                            </a:solidFill>
                            <a:miter lim="800000"/>
                            <a:headEnd/>
                            <a:tailEnd/>
                          </a:ln>
                        </wps:spPr>
                        <wps:txbx>
                          <w:txbxContent>
                            <w:p w:rsidR="003D12BA" w:rsidP="003D12BA" w:rsidRDefault="003D12BA" w14:paraId="0D64ADBD" w14:textId="77777777">
                              <w:pPr>
                                <w:rPr>
                                  <w:b/>
                                  <w:bCs/>
                                  <w:color w:val="0000FF"/>
                                </w:rPr>
                              </w:pPr>
                              <w:r>
                                <w:rPr>
                                  <w:b/>
                                  <w:bCs/>
                                  <w:color w:val="0000FF"/>
                                </w:rPr>
                                <w:t>stop here and quote the result with an approx. random uncertainty</w:t>
                              </w:r>
                            </w:p>
                            <w:p w:rsidR="003D12BA" w:rsidP="003D12BA" w:rsidRDefault="003D12BA" w14:paraId="6A69F457" w14:textId="77777777">
                              <w:pPr>
                                <w:rPr>
                                  <w:b/>
                                  <w:bCs/>
                                  <w:color w:val="0000FF"/>
                                </w:rPr>
                              </w:pPr>
                            </w:p>
                            <w:p w:rsidR="003D12BA" w:rsidP="003D12BA" w:rsidRDefault="003D12BA" w14:paraId="7DCF8EC9" w14:textId="5B629564">
                              <w:pPr>
                                <w:rPr>
                                  <w:color w:val="FFFFFF"/>
                                </w:rPr>
                              </w:pPr>
                              <w:r>
                                <w:rPr>
                                  <w:b/>
                                  <w:bCs/>
                                  <w:color w:val="FFFFFF"/>
                                  <w:highlight w:val="red"/>
                                </w:rPr>
                                <w:t>MEAN</w:t>
                              </w:r>
                              <w:r>
                                <w:rPr>
                                  <w:rFonts w:ascii="Symbol" w:hAnsi="Symbol" w:eastAsia="Symbol" w:cs="Symbol"/>
                                  <w:b/>
                                  <w:bCs/>
                                  <w:color w:val="FFFFFF"/>
                                  <w:highlight w:val="red"/>
                                </w:rPr>
                                <w:t>±</w:t>
                              </w:r>
                              <w:r>
                                <w:rPr>
                                  <w:b/>
                                  <w:bCs/>
                                  <w:color w:val="FFFFFF"/>
                                  <w:highlight w:val="red"/>
                                </w:rPr>
                                <w:t>approx. random uncertainty (UNIT)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4B99A03E">
              <v:group id="Group 374" style="position:absolute;margin-left:136.1pt;margin-top:5.7pt;width:336.3pt;height:83.6pt;z-index:251660288" coordsize="6726,1672" coordorigin="3912,6300" o:spid="_x0000_s1026" w14:anchorId="39A4A1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">
                <v:shape id="AutoShape 25" style="position:absolute;left:3685;top:6527;width:1611;height:1158;rotation:90;visibility:visible;mso-wrap-style:square;v-text-anchor:top" coordsize="21600,21600" o:spid="_x0000_s1027" fillcolor="#3cc" path="m10800,l6480,6171r2160,l8640,12343r-4320,l4320,9257,,15429r4320,6171l4320,18514r12960,l17280,21600r4320,-6171l17280,9257r,3086l12960,12343r,-6172l15120,6171,108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">
                  <v:stroke joinstyle="miter"/>
                  <v:path textboxrect="2159,12348,19441,18522" o:connecttype="custom" o:connectlocs="806,0;0,827;806,993;1611,827" o:connectangles="270,180,90,0"/>
                </v:shape>
                <v:shapetype id="_x0000_t202" coordsize="21600,21600" o:spt="202" path="m,l,21600r21600,l21600,xe">
                  <v:stroke joinstyle="miter"/>
                  <v:path gradientshapeok="t" o:connecttype="rect"/>
                </v:shapetype>
                <v:shape id="Text Box 26" style="position:absolute;left:5508;top:6360;width:5130;height:1612;visibility:visible;mso-wrap-style:square;v-text-anchor:top" o:spid="_x0000_s1028"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">
                  <v:textbox>
                    <w:txbxContent>
                      <w:p w:rsidR="003D12BA" w:rsidP="003D12BA" w:rsidRDefault="003D12BA" w14:paraId="3BC0201C" w14:textId="77777777">
                        <w:pPr>
                          <w:rPr>
                            <w:b/>
                            <w:bCs/>
                            <w:color w:val="0000FF"/>
                          </w:rPr>
                        </w:pPr>
                        <w:r>
                          <w:rPr>
                            <w:b/>
                            <w:bCs/>
                            <w:color w:val="0000FF"/>
                          </w:rPr>
                          <w:t>stop here and quote the result with an approx. random uncertainty</w:t>
                        </w:r>
                      </w:p>
                      <w:p w:rsidR="003D12BA" w:rsidP="003D12BA" w:rsidRDefault="003D12BA" w14:paraId="672A6659" w14:textId="77777777">
                        <w:pPr>
                          <w:rPr>
                            <w:b/>
                            <w:bCs/>
                            <w:color w:val="0000FF"/>
                          </w:rPr>
                        </w:pPr>
                      </w:p>
                      <w:p w:rsidR="003D12BA" w:rsidP="003D12BA" w:rsidRDefault="003D12BA" w14:paraId="1A70BAED" w14:textId="5B629564">
                        <w:pPr>
                          <w:rPr>
                            <w:color w:val="FFFFFF"/>
                          </w:rPr>
                        </w:pPr>
                        <w:r>
                          <w:rPr>
                            <w:b/>
                            <w:bCs/>
                            <w:color w:val="FFFFFF"/>
                            <w:highlight w:val="red"/>
                          </w:rPr>
                          <w:t>MEAN</w:t>
                        </w:r>
                        <w:r>
                          <w:rPr>
                            <w:rFonts w:ascii="Symbol" w:hAnsi="Symbol" w:eastAsia="Symbol" w:cs="Symbol"/>
                            <w:b/>
                            <w:bCs/>
                            <w:color w:val="FFFFFF"/>
                            <w:highlight w:val="red"/>
                          </w:rPr>
                          <w:t>±</w:t>
                        </w:r>
                        <w:r>
                          <w:rPr>
                            <w:b/>
                            <w:bCs/>
                            <w:color w:val="FFFFFF"/>
                            <w:highlight w:val="red"/>
                          </w:rPr>
                          <w:t>approx. random uncertainty (UNIT)</w:t>
                        </w:r>
                      </w:p>
                    </w:txbxContent>
                  </v:textbox>
                </v:shape>
                <w10:wrap type="square"/>
              </v:group>
            </w:pict>
          </mc:Fallback>
        </mc:AlternateContent>
      </w:r>
    </w:p>
    <w:p w:rsidR="003D12BA" w:rsidP="003D12BA" w:rsidRDefault="003D12BA" w14:paraId="2777545C" w14:textId="77777777">
      <w:pPr>
        <w:rPr>
          <w:b/>
          <w:bCs/>
          <w:color w:val="0000FF"/>
        </w:rPr>
      </w:pPr>
    </w:p>
    <w:p w:rsidR="003D12BA" w:rsidP="003D12BA" w:rsidRDefault="003D12BA" w14:paraId="27EC08FE" w14:textId="77777777">
      <w:pPr>
        <w:rPr>
          <w:b/>
          <w:bCs/>
          <w:color w:val="0000FF"/>
        </w:rPr>
      </w:pPr>
    </w:p>
    <w:p w:rsidR="003D12BA" w:rsidP="003D12BA" w:rsidRDefault="003D12BA" w14:paraId="2521BB43" w14:textId="77777777">
      <w:pPr>
        <w:rPr>
          <w:b/>
          <w:bCs/>
          <w:color w:val="0000FF"/>
        </w:rPr>
      </w:pPr>
    </w:p>
    <w:p w:rsidR="003D12BA" w:rsidP="003D12BA" w:rsidRDefault="003D12BA" w14:paraId="1A19BBA7" w14:textId="77777777">
      <w:pPr>
        <w:rPr>
          <w:b/>
          <w:bCs/>
          <w:color w:val="0000FF"/>
        </w:rPr>
      </w:pPr>
    </w:p>
    <w:p w:rsidR="003D12BA" w:rsidP="003D12BA" w:rsidRDefault="003D12BA" w14:paraId="6840C5FD" w14:textId="77777777">
      <w:pPr>
        <w:rPr>
          <w:b/>
          <w:bCs/>
          <w:color w:val="0000FF"/>
        </w:rPr>
      </w:pPr>
    </w:p>
    <w:p w:rsidR="003D12BA" w:rsidP="003D12BA" w:rsidRDefault="003D12BA" w14:paraId="17F87053" w14:textId="77777777">
      <w:pPr>
        <w:rPr>
          <w:b/>
          <w:bCs/>
          <w:color w:val="0000FF"/>
        </w:rPr>
      </w:pPr>
    </w:p>
    <w:p w:rsidR="003D12BA" w:rsidP="003D12BA" w:rsidRDefault="003D12BA" w14:paraId="30F9EBD5" w14:textId="77777777">
      <w:pPr>
        <w:pStyle w:val="Heading2"/>
      </w:pPr>
      <w:bookmarkStart w:name="_Toc515783255" w:id="3"/>
      <w:r>
        <w:t>Find the percentage uncertainty.</w:t>
      </w:r>
      <w:bookmarkEnd w:id="3"/>
    </w:p>
    <w:p w:rsidR="003D12BA" w:rsidP="003D12BA" w:rsidRDefault="003D12BA" w14:paraId="7ED90F62" w14:textId="77777777">
      <w:pPr>
        <w:rPr>
          <w:b/>
          <w:bCs/>
          <w:color w:val="0000FF"/>
        </w:rPr>
      </w:pPr>
      <w:r>
        <w:rPr>
          <w:b/>
          <w:bCs/>
          <w:color w:val="0000FF"/>
          <w:position w:val="-72"/>
        </w:rPr>
        <w:object w:dxaOrig="5880" w:dyaOrig="1560" w14:anchorId="13786919">
          <v:shape id="_x0000_i1028" style="width:294.9pt;height:78.8pt" o:ole="" type="#_x0000_t75">
            <v:imagedata o:title="" r:id="rId15"/>
          </v:shape>
          <o:OLEObject Type="Embed" ProgID="Equation.3" ShapeID="_x0000_i1028" DrawAspect="Content" ObjectID="_1685468419" r:id="rId16"/>
        </w:object>
      </w:r>
    </w:p>
    <w:p w:rsidR="003D12BA" w:rsidP="003D12BA" w:rsidRDefault="003D12BA" w14:paraId="68302DF7" w14:textId="77777777">
      <w:pPr>
        <w:rPr>
          <w:b/>
          <w:bCs/>
          <w:color w:val="0000FF"/>
        </w:rPr>
      </w:pPr>
      <w:r>
        <w:rPr>
          <w:noProof/>
          <w:color w:val="0000FF"/>
          <w:lang w:eastAsia="en-GB"/>
        </w:rPr>
        <mc:AlternateContent>
          <mc:Choice Requires="wpg">
            <w:drawing>
              <wp:anchor distT="0" distB="0" distL="114300" distR="114300" simplePos="0" relativeHeight="251661312" behindDoc="0" locked="0" layoutInCell="1" allowOverlap="1" wp14:anchorId="0D3EC09E" wp14:editId="38CAB5C4">
                <wp:simplePos x="0" y="0"/>
                <wp:positionH relativeFrom="column">
                  <wp:posOffset>2068830</wp:posOffset>
                </wp:positionH>
                <wp:positionV relativeFrom="paragraph">
                  <wp:posOffset>100965</wp:posOffset>
                </wp:positionV>
                <wp:extent cx="4133850" cy="931545"/>
                <wp:effectExtent l="19050" t="0" r="19050" b="40005"/>
                <wp:wrapSquare wrapText="bothSides"/>
                <wp:docPr id="371"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33850" cy="931545"/>
                          <a:chOff x="3981" y="10578"/>
                          <a:chExt cx="6510" cy="1467"/>
                        </a:xfrm>
                      </wpg:grpSpPr>
                      <wps:wsp>
                        <wps:cNvPr id="372" name="AutoShape 28"/>
                        <wps:cNvSpPr>
                          <a:spLocks noChangeArrowheads="1"/>
                        </wps:cNvSpPr>
                        <wps:spPr bwMode="auto">
                          <a:xfrm rot="5383820">
                            <a:off x="3808" y="10793"/>
                            <a:ext cx="1425" cy="1080"/>
                          </a:xfrm>
                          <a:custGeom>
                            <a:avLst/>
                            <a:gdLst>
                              <a:gd name="G0" fmla="+- 11490 0 0"/>
                              <a:gd name="G1" fmla="+- 18514 0 0"/>
                              <a:gd name="G2" fmla="+- 7200 0 0"/>
                              <a:gd name="G3" fmla="*/ 11490 1 2"/>
                              <a:gd name="G4" fmla="+- G3 10800 0"/>
                              <a:gd name="G5" fmla="+- 21600 11490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6545 w 21600"/>
                              <a:gd name="T1" fmla="*/ 0 h 21600"/>
                              <a:gd name="T2" fmla="*/ 11490 w 21600"/>
                              <a:gd name="T3" fmla="*/ 7200 h 21600"/>
                              <a:gd name="T4" fmla="*/ 0 w 21600"/>
                              <a:gd name="T5" fmla="*/ 19303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6545" y="0"/>
                                </a:moveTo>
                                <a:lnTo>
                                  <a:pt x="11490" y="7200"/>
                                </a:lnTo>
                                <a:lnTo>
                                  <a:pt x="14576" y="7200"/>
                                </a:lnTo>
                                <a:lnTo>
                                  <a:pt x="14576" y="17006"/>
                                </a:lnTo>
                                <a:lnTo>
                                  <a:pt x="0" y="17006"/>
                                </a:lnTo>
                                <a:lnTo>
                                  <a:pt x="0" y="21600"/>
                                </a:lnTo>
                                <a:lnTo>
                                  <a:pt x="18514" y="21600"/>
                                </a:lnTo>
                                <a:lnTo>
                                  <a:pt x="18514" y="7200"/>
                                </a:lnTo>
                                <a:lnTo>
                                  <a:pt x="21600" y="7200"/>
                                </a:lnTo>
                                <a:close/>
                              </a:path>
                            </a:pathLst>
                          </a:custGeom>
                          <a:solidFill>
                            <a:srgbClr val="33CCCC"/>
                          </a:solidFill>
                          <a:ln w="9525">
                            <a:solidFill>
                              <a:srgbClr val="000000"/>
                            </a:solidFill>
                            <a:miter lim="800000"/>
                            <a:headEnd/>
                            <a:tailEnd/>
                          </a:ln>
                        </wps:spPr>
                        <wps:bodyPr rot="0" vert="horz" wrap="square" lIns="91440" tIns="45720" rIns="91440" bIns="45720" anchor="t" anchorCtr="0" upright="1">
                          <a:noAutofit/>
                        </wps:bodyPr>
                      </wps:wsp>
                      <wps:wsp>
                        <wps:cNvPr id="373" name="Text Box 29"/>
                        <wps:cNvSpPr txBox="1">
                          <a:spLocks noChangeArrowheads="1"/>
                        </wps:cNvSpPr>
                        <wps:spPr bwMode="auto">
                          <a:xfrm>
                            <a:off x="5277" y="10578"/>
                            <a:ext cx="5214" cy="1440"/>
                          </a:xfrm>
                          <a:prstGeom prst="rect">
                            <a:avLst/>
                          </a:prstGeom>
                          <a:solidFill>
                            <a:srgbClr val="FFFFFF"/>
                          </a:solidFill>
                          <a:ln w="9525">
                            <a:solidFill>
                              <a:srgbClr val="000000"/>
                            </a:solidFill>
                            <a:miter lim="800000"/>
                            <a:headEnd/>
                            <a:tailEnd/>
                          </a:ln>
                        </wps:spPr>
                        <wps:txbx>
                          <w:txbxContent>
                            <w:p w:rsidR="003D12BA" w:rsidP="003D12BA" w:rsidRDefault="003D12BA" w14:paraId="53C798AA" w14:textId="77777777">
                              <w:pPr>
                                <w:rPr>
                                  <w:b/>
                                  <w:bCs/>
                                  <w:color w:val="0000FF"/>
                                </w:rPr>
                              </w:pPr>
                              <w:r>
                                <w:rPr>
                                  <w:b/>
                                  <w:bCs/>
                                  <w:color w:val="0000FF"/>
                                </w:rPr>
                                <w:t>stop here and quote the result with a percentage uncertainty</w:t>
                              </w:r>
                            </w:p>
                            <w:p w:rsidR="003D12BA" w:rsidP="003D12BA" w:rsidRDefault="003D12BA" w14:paraId="2B38A4B3" w14:textId="77777777">
                              <w:pPr>
                                <w:rPr>
                                  <w:b/>
                                  <w:bCs/>
                                  <w:color w:val="0000FF"/>
                                </w:rPr>
                              </w:pPr>
                            </w:p>
                            <w:p w:rsidR="003D12BA" w:rsidP="003D12BA" w:rsidRDefault="003D12BA" w14:paraId="371332EE" w14:textId="700A0926">
                              <w:pPr>
                                <w:rPr>
                                  <w:color w:val="FFFFFF"/>
                                </w:rPr>
                              </w:pPr>
                              <w:r>
                                <w:rPr>
                                  <w:b/>
                                  <w:bCs/>
                                  <w:color w:val="FFFFFF"/>
                                  <w:highlight w:val="red"/>
                                </w:rPr>
                                <w:t>MEAN (UNIT)</w:t>
                              </w:r>
                              <w:r>
                                <w:rPr>
                                  <w:rFonts w:ascii="Symbol" w:hAnsi="Symbol" w:eastAsia="Symbol" w:cs="Symbol"/>
                                  <w:b/>
                                  <w:bCs/>
                                  <w:color w:val="FFFFFF"/>
                                  <w:highlight w:val="red"/>
                                </w:rPr>
                                <w:t>±</w:t>
                              </w:r>
                              <w:r>
                                <w:rPr>
                                  <w:b/>
                                  <w:bCs/>
                                  <w:color w:val="FFFFFF"/>
                                  <w:highlight w:val="red"/>
                                </w:rPr>
                                <w:t xml:space="preserve"> percerntage uncertainty (%)</w:t>
                              </w:r>
                              <w:r>
                                <w:rPr>
                                  <w:b/>
                                  <w:bCs/>
                                  <w:color w:val="FFFFFF"/>
                                </w:rPr>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w14:anchorId="22EEC37D">
              <v:group id="Group 371" style="position:absolute;margin-left:162.9pt;margin-top:7.95pt;width:325.5pt;height:73.35pt;z-index:251661312" coordsize="6510,1467" coordorigin="3981,10578" o:spid="_x0000_s1029" w14:anchorId="0D3EC0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">
                <v:shape id="AutoShape 28" style="position:absolute;left:3808;top:10793;width:1425;height:1080;rotation:5880567fd;visibility:visible;mso-wrap-style:square;v-text-anchor:top" coordsize="21600,21600" o:spid="_x0000_s1030" fillcolor="#3cc" path="m16545,l11490,7200r3086,l14576,17006,,17006r,4594l18514,21600r,-14400l21600,7200,165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">
                  <v:stroke joinstyle="miter"/>
                  <v:path textboxrect="0,17000,18508,21600" o:connecttype="custom" o:connectlocs="1092,0;758,360;0,965;611,1080;1221,750;1425,360" o:connectangles="270,180,180,90,0,0"/>
                </v:shape>
                <v:shape id="Text Box 29" style="position:absolute;left:5277;top:10578;width:5214;height:1440;visibility:visible;mso-wrap-style:square;v-text-anchor:top" o:spid="_x0000_s1031"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">
                  <v:textbox>
                    <w:txbxContent>
                      <w:p w:rsidR="003D12BA" w:rsidP="003D12BA" w:rsidRDefault="003D12BA" w14:paraId="1ECC4CE8" w14:textId="77777777">
                        <w:pPr>
                          <w:rPr>
                            <w:b/>
                            <w:bCs/>
                            <w:color w:val="0000FF"/>
                          </w:rPr>
                        </w:pPr>
                        <w:r>
                          <w:rPr>
                            <w:b/>
                            <w:bCs/>
                            <w:color w:val="0000FF"/>
                          </w:rPr>
                          <w:t>stop here and quote the result with a percentage uncertainty</w:t>
                        </w:r>
                      </w:p>
                      <w:p w:rsidR="003D12BA" w:rsidP="003D12BA" w:rsidRDefault="003D12BA" w14:paraId="0A37501D" w14:textId="77777777">
                        <w:pPr>
                          <w:rPr>
                            <w:b/>
                            <w:bCs/>
                            <w:color w:val="0000FF"/>
                          </w:rPr>
                        </w:pPr>
                      </w:p>
                      <w:p w:rsidR="003D12BA" w:rsidP="003D12BA" w:rsidRDefault="003D12BA" w14:paraId="628C9077" w14:textId="700A0926">
                        <w:pPr>
                          <w:rPr>
                            <w:color w:val="FFFFFF"/>
                          </w:rPr>
                        </w:pPr>
                        <w:r>
                          <w:rPr>
                            <w:b/>
                            <w:bCs/>
                            <w:color w:val="FFFFFF"/>
                            <w:highlight w:val="red"/>
                          </w:rPr>
                          <w:t>MEAN (UNIT)</w:t>
                        </w:r>
                        <w:r>
                          <w:rPr>
                            <w:rFonts w:ascii="Symbol" w:hAnsi="Symbol" w:eastAsia="Symbol" w:cs="Symbol"/>
                            <w:b/>
                            <w:bCs/>
                            <w:color w:val="FFFFFF"/>
                            <w:highlight w:val="red"/>
                          </w:rPr>
                          <w:t>±</w:t>
                        </w:r>
                        <w:r>
                          <w:rPr>
                            <w:b/>
                            <w:bCs/>
                            <w:color w:val="FFFFFF"/>
                            <w:highlight w:val="red"/>
                          </w:rPr>
                          <w:t xml:space="preserve"> percerntage uncertainty (%)</w:t>
                        </w:r>
                        <w:r>
                          <w:rPr>
                            <w:b/>
                            <w:bCs/>
                            <w:color w:val="FFFFFF"/>
                          </w:rPr>
                          <w:t xml:space="preserve"> (</w:t>
                        </w:r>
                      </w:p>
                    </w:txbxContent>
                  </v:textbox>
                </v:shape>
                <w10:wrap type="square"/>
              </v:group>
            </w:pict>
          </mc:Fallback>
        </mc:AlternateContent>
      </w:r>
    </w:p>
    <w:p w:rsidR="003D12BA" w:rsidP="003D12BA" w:rsidRDefault="003D12BA" w14:paraId="1B60573E" w14:textId="77777777">
      <w:pPr>
        <w:rPr>
          <w:color w:val="0000FF"/>
        </w:rPr>
      </w:pPr>
    </w:p>
    <w:p w:rsidR="003D12BA" w:rsidP="003D12BA" w:rsidRDefault="003D12BA" w14:paraId="59FF9853" w14:textId="77777777">
      <w:pPr>
        <w:rPr>
          <w:color w:val="0000FF"/>
        </w:rPr>
      </w:pPr>
    </w:p>
    <w:p w:rsidR="003D12BA" w:rsidP="003D12BA" w:rsidRDefault="003D12BA" w14:paraId="3D8387D6" w14:textId="77777777">
      <w:pPr>
        <w:rPr>
          <w:color w:val="0000FF"/>
        </w:rPr>
      </w:pPr>
    </w:p>
    <w:p w:rsidR="003D12BA" w:rsidP="003D12BA" w:rsidRDefault="003D12BA" w14:paraId="79FEF4DB" w14:textId="77777777">
      <w:pPr>
        <w:rPr>
          <w:color w:val="0000FF"/>
        </w:rPr>
      </w:pPr>
    </w:p>
    <w:p w:rsidR="003D12BA" w:rsidP="003D12BA" w:rsidRDefault="003D12BA" w14:paraId="450466C6" w14:textId="513AD66B">
      <w:pPr>
        <w:rPr>
          <w:color w:val="0000FF"/>
        </w:rPr>
      </w:pPr>
    </w:p>
    <w:sectPr w:rsidR="003D12BA" w:rsidSect="009F70A8">
      <w:headerReference w:type="default" r:id="rId17"/>
      <w:footerReference w:type="default" r:id="rId18"/>
      <w:pgSz w:w="11906" w:h="16838" w:orient="portrait"/>
      <w:pgMar w:top="907" w:right="720" w:bottom="816" w:left="720" w:header="68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36E5" w:rsidP="00771744" w:rsidRDefault="00F236E5" w14:paraId="390FDD62" w14:textId="77777777">
      <w:r>
        <w:separator/>
      </w:r>
    </w:p>
  </w:endnote>
  <w:endnote w:type="continuationSeparator" w:id="0">
    <w:p w:rsidR="00F236E5" w:rsidP="00771744" w:rsidRDefault="00F236E5" w14:paraId="6EF2C32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A50A3E" w:rsidR="00F24CCF" w:rsidRDefault="00A50A3E" w14:paraId="488D1C01" w14:textId="62541321">
    <w:pPr>
      <w:pStyle w:val="Footer"/>
      <w:rPr>
        <w:sz w:val="22"/>
        <w:szCs w:val="22"/>
      </w:rPr>
    </w:pPr>
    <w:r>
      <w:rPr>
        <w:sz w:val="22"/>
        <w:szCs w:val="22"/>
      </w:rPr>
      <w:tab/>
    </w:r>
    <w:r>
      <w:rPr>
        <w:sz w:val="22"/>
        <w:szCs w:val="22"/>
      </w:rPr>
      <w:tab/>
    </w:r>
    <w:r w:rsidR="00C35EF7">
      <w:rPr>
        <w:sz w:val="22"/>
        <w:szCs w:val="22"/>
      </w:rPr>
      <w:t xml:space="preserve">Author </w:t>
    </w:r>
    <w:r>
      <w:rPr>
        <w:sz w:val="22"/>
        <w:szCs w:val="22"/>
      </w:rPr>
      <w:t>R Stewart</w:t>
    </w:r>
    <w:r w:rsidR="000B2036">
      <w:rPr>
        <w:sz w:val="22"/>
        <w:szCs w:val="22"/>
      </w:rPr>
      <w:t xml:space="preserve"> /</w:t>
    </w:r>
    <w:r w:rsidR="009F70A8">
      <w:rPr>
        <w:sz w:val="22"/>
        <w:szCs w:val="22"/>
      </w:rPr>
      <w:t xml:space="preserve"> </w:t>
    </w:r>
    <w:r w:rsidR="00C35EF7">
      <w:rPr>
        <w:sz w:val="22"/>
        <w:szCs w:val="22"/>
      </w:rPr>
      <w:t xml:space="preserve">(updates </w:t>
    </w:r>
    <w:r w:rsidR="009F70A8">
      <w:rPr>
        <w:sz w:val="22"/>
        <w:szCs w:val="22"/>
      </w:rPr>
      <w:t>J A Hargreaves</w:t>
    </w:r>
    <w:r w:rsidR="00C35EF7">
      <w:rPr>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36E5" w:rsidP="00771744" w:rsidRDefault="00F236E5" w14:paraId="3F2886FA" w14:textId="77777777">
      <w:r>
        <w:separator/>
      </w:r>
    </w:p>
  </w:footnote>
  <w:footnote w:type="continuationSeparator" w:id="0">
    <w:p w:rsidR="00F236E5" w:rsidP="00771744" w:rsidRDefault="00F236E5" w14:paraId="70122AC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A50A3E" w:rsidR="00512381" w:rsidP="00F97A74" w:rsidRDefault="00512381" w14:paraId="79F17066" w14:textId="5C964161">
    <w:pPr>
      <w:pStyle w:val="Header"/>
      <w:tabs>
        <w:tab w:val="clear" w:pos="4513"/>
        <w:tab w:val="clear" w:pos="9026"/>
        <w:tab w:val="center" w:pos="5245"/>
        <w:tab w:val="right" w:pos="10466"/>
      </w:tabs>
      <w:rPr>
        <w:sz w:val="22"/>
        <w:szCs w:val="22"/>
      </w:rPr>
    </w:pPr>
    <w:r>
      <w:rPr>
        <w:sz w:val="22"/>
        <w:szCs w:val="22"/>
      </w:rPr>
      <w:t>Higher</w:t>
    </w:r>
    <w:r w:rsidRPr="00A50A3E" w:rsidR="00F24CCF">
      <w:rPr>
        <w:sz w:val="22"/>
        <w:szCs w:val="22"/>
      </w:rPr>
      <w:t xml:space="preserve"> Physics</w:t>
    </w:r>
    <w:r w:rsidRPr="00A50A3E" w:rsidR="00F24CCF">
      <w:rPr>
        <w:sz w:val="22"/>
        <w:szCs w:val="22"/>
      </w:rPr>
      <w:tab/>
    </w:r>
    <w:r w:rsidR="000B2036">
      <w:rPr>
        <w:sz w:val="22"/>
        <w:szCs w:val="22"/>
      </w:rPr>
      <w:t>Brief Summary</w:t>
    </w:r>
    <w:r w:rsidRPr="00A50A3E" w:rsidR="00F24CCF">
      <w:rPr>
        <w:sz w:val="22"/>
        <w:szCs w:val="22"/>
      </w:rPr>
      <w:tab/>
    </w:r>
    <w:r>
      <w:rPr>
        <w:sz w:val="22"/>
        <w:szCs w:val="22"/>
      </w:rPr>
      <w:t>Uncertainties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A35A8"/>
    <w:multiLevelType w:val="multilevel"/>
    <w:tmpl w:val="0809001D"/>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611B1C6E"/>
    <w:multiLevelType w:val="hybridMultilevel"/>
    <w:tmpl w:val="DDEE77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9"/>
  <w:trackRevisions w:val="fals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744"/>
    <w:rsid w:val="00006138"/>
    <w:rsid w:val="00024771"/>
    <w:rsid w:val="00036BF7"/>
    <w:rsid w:val="00054B81"/>
    <w:rsid w:val="00062254"/>
    <w:rsid w:val="000731B8"/>
    <w:rsid w:val="000913D5"/>
    <w:rsid w:val="000B2036"/>
    <w:rsid w:val="000C65F6"/>
    <w:rsid w:val="000C7A7E"/>
    <w:rsid w:val="000C7AD4"/>
    <w:rsid w:val="000D3A69"/>
    <w:rsid w:val="00104358"/>
    <w:rsid w:val="001108F5"/>
    <w:rsid w:val="001116E2"/>
    <w:rsid w:val="00113CB4"/>
    <w:rsid w:val="00137446"/>
    <w:rsid w:val="001439AE"/>
    <w:rsid w:val="00190D22"/>
    <w:rsid w:val="001B213F"/>
    <w:rsid w:val="001E0533"/>
    <w:rsid w:val="001E44AC"/>
    <w:rsid w:val="001F270B"/>
    <w:rsid w:val="00202953"/>
    <w:rsid w:val="00206758"/>
    <w:rsid w:val="002374F7"/>
    <w:rsid w:val="00280EC9"/>
    <w:rsid w:val="00284964"/>
    <w:rsid w:val="002A40F8"/>
    <w:rsid w:val="002D282C"/>
    <w:rsid w:val="00307C01"/>
    <w:rsid w:val="00333719"/>
    <w:rsid w:val="00341B81"/>
    <w:rsid w:val="0034218A"/>
    <w:rsid w:val="00375BDE"/>
    <w:rsid w:val="00397C81"/>
    <w:rsid w:val="003A72C5"/>
    <w:rsid w:val="003B5B13"/>
    <w:rsid w:val="003B5EA4"/>
    <w:rsid w:val="003B600C"/>
    <w:rsid w:val="003D12BA"/>
    <w:rsid w:val="003D7499"/>
    <w:rsid w:val="00405DA3"/>
    <w:rsid w:val="004335DF"/>
    <w:rsid w:val="00436FCC"/>
    <w:rsid w:val="004569B0"/>
    <w:rsid w:val="00475D6B"/>
    <w:rsid w:val="004901E6"/>
    <w:rsid w:val="004B2F55"/>
    <w:rsid w:val="004E19BE"/>
    <w:rsid w:val="004F06F4"/>
    <w:rsid w:val="004F4DD0"/>
    <w:rsid w:val="00502A55"/>
    <w:rsid w:val="00512381"/>
    <w:rsid w:val="00514DDB"/>
    <w:rsid w:val="00516563"/>
    <w:rsid w:val="005210BE"/>
    <w:rsid w:val="0053589E"/>
    <w:rsid w:val="0054219B"/>
    <w:rsid w:val="0056778D"/>
    <w:rsid w:val="005841A1"/>
    <w:rsid w:val="00585187"/>
    <w:rsid w:val="00586493"/>
    <w:rsid w:val="00592006"/>
    <w:rsid w:val="005A289C"/>
    <w:rsid w:val="005B0CCF"/>
    <w:rsid w:val="005B7851"/>
    <w:rsid w:val="005C1584"/>
    <w:rsid w:val="005C261E"/>
    <w:rsid w:val="005C2A29"/>
    <w:rsid w:val="005C795A"/>
    <w:rsid w:val="00611D64"/>
    <w:rsid w:val="00641BC3"/>
    <w:rsid w:val="006A2BFB"/>
    <w:rsid w:val="006A411F"/>
    <w:rsid w:val="006A5C67"/>
    <w:rsid w:val="006C6E3A"/>
    <w:rsid w:val="006D020E"/>
    <w:rsid w:val="006E6BF0"/>
    <w:rsid w:val="006F2BAC"/>
    <w:rsid w:val="006F7C48"/>
    <w:rsid w:val="00712C16"/>
    <w:rsid w:val="0072518C"/>
    <w:rsid w:val="00746E5A"/>
    <w:rsid w:val="00771744"/>
    <w:rsid w:val="00781ADD"/>
    <w:rsid w:val="007924F5"/>
    <w:rsid w:val="007933E6"/>
    <w:rsid w:val="00795541"/>
    <w:rsid w:val="007A447B"/>
    <w:rsid w:val="007B4F87"/>
    <w:rsid w:val="007D6E90"/>
    <w:rsid w:val="007F30D0"/>
    <w:rsid w:val="00805FB6"/>
    <w:rsid w:val="00855999"/>
    <w:rsid w:val="008573EC"/>
    <w:rsid w:val="008A24FC"/>
    <w:rsid w:val="008B4DB4"/>
    <w:rsid w:val="008E0D62"/>
    <w:rsid w:val="0090102A"/>
    <w:rsid w:val="0091692B"/>
    <w:rsid w:val="00994670"/>
    <w:rsid w:val="009A7FCC"/>
    <w:rsid w:val="009B64C5"/>
    <w:rsid w:val="009B73F3"/>
    <w:rsid w:val="009F05F1"/>
    <w:rsid w:val="009F70A8"/>
    <w:rsid w:val="00A352DE"/>
    <w:rsid w:val="00A37974"/>
    <w:rsid w:val="00A44142"/>
    <w:rsid w:val="00A50A3E"/>
    <w:rsid w:val="00A55974"/>
    <w:rsid w:val="00A63450"/>
    <w:rsid w:val="00A77022"/>
    <w:rsid w:val="00AB0A54"/>
    <w:rsid w:val="00AE3FC4"/>
    <w:rsid w:val="00AF5F41"/>
    <w:rsid w:val="00AF7899"/>
    <w:rsid w:val="00B26ED0"/>
    <w:rsid w:val="00B36A82"/>
    <w:rsid w:val="00B4558A"/>
    <w:rsid w:val="00B54834"/>
    <w:rsid w:val="00B608C7"/>
    <w:rsid w:val="00B775BB"/>
    <w:rsid w:val="00B83AF5"/>
    <w:rsid w:val="00B949E2"/>
    <w:rsid w:val="00BA1FDA"/>
    <w:rsid w:val="00BA29E3"/>
    <w:rsid w:val="00BC3F3A"/>
    <w:rsid w:val="00BD0DAA"/>
    <w:rsid w:val="00BE2AC8"/>
    <w:rsid w:val="00C101EA"/>
    <w:rsid w:val="00C12893"/>
    <w:rsid w:val="00C15E82"/>
    <w:rsid w:val="00C25480"/>
    <w:rsid w:val="00C35EF7"/>
    <w:rsid w:val="00C438D6"/>
    <w:rsid w:val="00C55E43"/>
    <w:rsid w:val="00C633A6"/>
    <w:rsid w:val="00C7064C"/>
    <w:rsid w:val="00C74163"/>
    <w:rsid w:val="00C87FBF"/>
    <w:rsid w:val="00C93500"/>
    <w:rsid w:val="00CD3425"/>
    <w:rsid w:val="00CD7A4F"/>
    <w:rsid w:val="00CF4DC1"/>
    <w:rsid w:val="00CF6E2F"/>
    <w:rsid w:val="00D137B2"/>
    <w:rsid w:val="00D257E6"/>
    <w:rsid w:val="00D3235A"/>
    <w:rsid w:val="00D348C3"/>
    <w:rsid w:val="00D368B6"/>
    <w:rsid w:val="00D45B23"/>
    <w:rsid w:val="00D47ACB"/>
    <w:rsid w:val="00D52A48"/>
    <w:rsid w:val="00D55716"/>
    <w:rsid w:val="00D62F77"/>
    <w:rsid w:val="00D76D39"/>
    <w:rsid w:val="00DA45CA"/>
    <w:rsid w:val="00DC37A1"/>
    <w:rsid w:val="00DC3E62"/>
    <w:rsid w:val="00DD688E"/>
    <w:rsid w:val="00E0690D"/>
    <w:rsid w:val="00E14F56"/>
    <w:rsid w:val="00E2271D"/>
    <w:rsid w:val="00E33C4D"/>
    <w:rsid w:val="00E633CB"/>
    <w:rsid w:val="00E63AB4"/>
    <w:rsid w:val="00E71C41"/>
    <w:rsid w:val="00E75DC8"/>
    <w:rsid w:val="00EA18EE"/>
    <w:rsid w:val="00EA5D81"/>
    <w:rsid w:val="00EB7E1B"/>
    <w:rsid w:val="00ED5BCE"/>
    <w:rsid w:val="00EE17DF"/>
    <w:rsid w:val="00EE5975"/>
    <w:rsid w:val="00EE6C43"/>
    <w:rsid w:val="00EF41BF"/>
    <w:rsid w:val="00F02119"/>
    <w:rsid w:val="00F13C83"/>
    <w:rsid w:val="00F22C18"/>
    <w:rsid w:val="00F236E5"/>
    <w:rsid w:val="00F24CCF"/>
    <w:rsid w:val="00F55C5E"/>
    <w:rsid w:val="00F84B89"/>
    <w:rsid w:val="00F97A74"/>
    <w:rsid w:val="00FA2FB3"/>
    <w:rsid w:val="00FB5761"/>
    <w:rsid w:val="00FB7DDF"/>
    <w:rsid w:val="00FC049E"/>
    <w:rsid w:val="00FD4A31"/>
    <w:rsid w:val="00FE1E47"/>
    <w:rsid w:val="00FE628D"/>
    <w:rsid w:val="00FF24A0"/>
    <w:rsid w:val="3D32E1B1"/>
    <w:rsid w:val="48C4C287"/>
    <w:rsid w:val="75CF5A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54CD3"/>
  <w15:chartTrackingRefBased/>
  <w15:docId w15:val="{67586E14-AE5C-894A-B343-93B3FB0C3E9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D12BA"/>
    <w:pPr>
      <w:pBdr>
        <w:top w:val="single" w:color="AD84C6" w:themeColor="accent1" w:sz="24" w:space="0"/>
        <w:left w:val="single" w:color="AD84C6" w:themeColor="accent1" w:sz="24" w:space="0"/>
        <w:bottom w:val="single" w:color="AD84C6" w:themeColor="accent1" w:sz="24" w:space="0"/>
        <w:right w:val="single" w:color="AD84C6" w:themeColor="accent1" w:sz="24" w:space="0"/>
      </w:pBdr>
      <w:shd w:val="clear" w:color="auto" w:fill="AD84C6" w:themeFill="accent1"/>
      <w:spacing w:line="276" w:lineRule="auto"/>
      <w:outlineLvl w:val="0"/>
    </w:pPr>
    <w:rPr>
      <w:rFonts w:eastAsiaTheme="minorEastAsia"/>
      <w:b/>
      <w:bCs/>
      <w:caps/>
      <w:color w:val="FFFFFF" w:themeColor="background1"/>
      <w:spacing w:val="15"/>
      <w:sz w:val="32"/>
      <w:szCs w:val="22"/>
      <w:lang w:eastAsia="en-GB"/>
    </w:rPr>
  </w:style>
  <w:style w:type="paragraph" w:styleId="Heading2">
    <w:name w:val="heading 2"/>
    <w:basedOn w:val="Normal"/>
    <w:next w:val="Normal"/>
    <w:link w:val="Heading2Char"/>
    <w:uiPriority w:val="9"/>
    <w:unhideWhenUsed/>
    <w:qFormat/>
    <w:rsid w:val="003D12BA"/>
    <w:pPr>
      <w:pBdr>
        <w:top w:val="single" w:color="EEE6F3" w:themeColor="accent1" w:themeTint="33" w:sz="24" w:space="0"/>
        <w:left w:val="single" w:color="EEE6F3" w:themeColor="accent1" w:themeTint="33" w:sz="24" w:space="0"/>
        <w:bottom w:val="single" w:color="EEE6F3" w:themeColor="accent1" w:themeTint="33" w:sz="24" w:space="0"/>
        <w:right w:val="single" w:color="EEE6F3" w:themeColor="accent1" w:themeTint="33" w:sz="24" w:space="0"/>
      </w:pBdr>
      <w:shd w:val="clear" w:color="auto" w:fill="EEE6F3" w:themeFill="accent1" w:themeFillTint="33"/>
      <w:spacing w:line="276" w:lineRule="auto"/>
      <w:outlineLvl w:val="1"/>
    </w:pPr>
    <w:rPr>
      <w:rFonts w:eastAsiaTheme="minorEastAsia"/>
      <w:caps/>
      <w:spacing w:val="15"/>
      <w:szCs w:val="22"/>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71744"/>
    <w:pPr>
      <w:tabs>
        <w:tab w:val="center" w:pos="4513"/>
        <w:tab w:val="right" w:pos="9026"/>
      </w:tabs>
    </w:pPr>
  </w:style>
  <w:style w:type="character" w:styleId="HeaderChar" w:customStyle="1">
    <w:name w:val="Header Char"/>
    <w:basedOn w:val="DefaultParagraphFont"/>
    <w:link w:val="Header"/>
    <w:uiPriority w:val="99"/>
    <w:rsid w:val="00771744"/>
  </w:style>
  <w:style w:type="paragraph" w:styleId="Footer">
    <w:name w:val="footer"/>
    <w:basedOn w:val="Normal"/>
    <w:link w:val="FooterChar"/>
    <w:uiPriority w:val="99"/>
    <w:unhideWhenUsed/>
    <w:rsid w:val="00771744"/>
    <w:pPr>
      <w:tabs>
        <w:tab w:val="center" w:pos="4513"/>
        <w:tab w:val="right" w:pos="9026"/>
      </w:tabs>
    </w:pPr>
  </w:style>
  <w:style w:type="character" w:styleId="FooterChar" w:customStyle="1">
    <w:name w:val="Footer Char"/>
    <w:basedOn w:val="DefaultParagraphFont"/>
    <w:link w:val="Footer"/>
    <w:uiPriority w:val="99"/>
    <w:rsid w:val="00771744"/>
  </w:style>
  <w:style w:type="table" w:styleId="TableGrid">
    <w:name w:val="Table Grid"/>
    <w:basedOn w:val="TableNormal"/>
    <w:uiPriority w:val="59"/>
    <w:rsid w:val="0077174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771744"/>
    <w:rPr>
      <w:color w:val="808080"/>
    </w:rPr>
  </w:style>
  <w:style w:type="table" w:styleId="ListTable3-Accent2">
    <w:name w:val="List Table 3 Accent 2"/>
    <w:basedOn w:val="TableNormal"/>
    <w:uiPriority w:val="48"/>
    <w:rsid w:val="00F24CCF"/>
    <w:tblPr>
      <w:tblStyleRowBandSize w:val="1"/>
      <w:tblStyleColBandSize w:val="1"/>
      <w:tblBorders>
        <w:top w:val="single" w:color="8784C7" w:themeColor="accent2" w:sz="4" w:space="0"/>
        <w:left w:val="single" w:color="8784C7" w:themeColor="accent2" w:sz="4" w:space="0"/>
        <w:bottom w:val="single" w:color="8784C7" w:themeColor="accent2" w:sz="4" w:space="0"/>
        <w:right w:val="single" w:color="8784C7" w:themeColor="accent2" w:sz="4" w:space="0"/>
      </w:tblBorders>
    </w:tblPr>
    <w:tblStylePr w:type="firstRow">
      <w:rPr>
        <w:b/>
        <w:bCs/>
        <w:color w:val="FFFFFF" w:themeColor="background1"/>
      </w:rPr>
      <w:tblPr/>
      <w:tcPr>
        <w:shd w:val="clear" w:color="auto" w:fill="8784C7" w:themeFill="accent2"/>
      </w:tcPr>
    </w:tblStylePr>
    <w:tblStylePr w:type="lastRow">
      <w:rPr>
        <w:b/>
        <w:bCs/>
      </w:rPr>
      <w:tblPr/>
      <w:tcPr>
        <w:tcBorders>
          <w:top w:val="double" w:color="8784C7"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784C7" w:themeColor="accent2" w:sz="4" w:space="0"/>
          <w:right w:val="single" w:color="8784C7" w:themeColor="accent2" w:sz="4" w:space="0"/>
        </w:tcBorders>
      </w:tcPr>
    </w:tblStylePr>
    <w:tblStylePr w:type="band1Horz">
      <w:tblPr/>
      <w:tcPr>
        <w:tcBorders>
          <w:top w:val="single" w:color="8784C7" w:themeColor="accent2" w:sz="4" w:space="0"/>
          <w:bottom w:val="single" w:color="8784C7"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784C7" w:themeColor="accent2" w:sz="4" w:space="0"/>
          <w:left w:val="nil"/>
        </w:tcBorders>
      </w:tcPr>
    </w:tblStylePr>
    <w:tblStylePr w:type="swCell">
      <w:tblPr/>
      <w:tcPr>
        <w:tcBorders>
          <w:top w:val="double" w:color="8784C7" w:themeColor="accent2" w:sz="4" w:space="0"/>
          <w:right w:val="nil"/>
        </w:tcBorders>
      </w:tcPr>
    </w:tblStylePr>
  </w:style>
  <w:style w:type="table" w:styleId="GridTable5Dark-Accent2">
    <w:name w:val="Grid Table 5 Dark Accent 2"/>
    <w:basedOn w:val="TableNormal"/>
    <w:uiPriority w:val="50"/>
    <w:rsid w:val="00F24CCF"/>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6E6F3"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784C7"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784C7"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784C7"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784C7" w:themeFill="accent2"/>
      </w:tcPr>
    </w:tblStylePr>
    <w:tblStylePr w:type="band1Vert">
      <w:tblPr/>
      <w:tcPr>
        <w:shd w:val="clear" w:color="auto" w:fill="CECDE8" w:themeFill="accent2" w:themeFillTint="66"/>
      </w:tcPr>
    </w:tblStylePr>
    <w:tblStylePr w:type="band1Horz">
      <w:tblPr/>
      <w:tcPr>
        <w:shd w:val="clear" w:color="auto" w:fill="CECDE8" w:themeFill="accent2" w:themeFillTint="66"/>
      </w:tcPr>
    </w:tblStylePr>
  </w:style>
  <w:style w:type="table" w:styleId="ListTable3-Accent1">
    <w:name w:val="List Table 3 Accent 1"/>
    <w:basedOn w:val="TableNormal"/>
    <w:uiPriority w:val="48"/>
    <w:rsid w:val="00F24CCF"/>
    <w:tblPr>
      <w:tblStyleRowBandSize w:val="1"/>
      <w:tblStyleColBandSize w:val="1"/>
      <w:tblBorders>
        <w:top w:val="single" w:color="AD84C6" w:themeColor="accent1" w:sz="4" w:space="0"/>
        <w:left w:val="single" w:color="AD84C6" w:themeColor="accent1" w:sz="4" w:space="0"/>
        <w:bottom w:val="single" w:color="AD84C6" w:themeColor="accent1" w:sz="4" w:space="0"/>
        <w:right w:val="single" w:color="AD84C6" w:themeColor="accent1" w:sz="4" w:space="0"/>
      </w:tblBorders>
    </w:tblPr>
    <w:tblStylePr w:type="firstRow">
      <w:rPr>
        <w:b/>
        <w:bCs/>
        <w:color w:val="FFFFFF" w:themeColor="background1"/>
      </w:rPr>
      <w:tblPr/>
      <w:tcPr>
        <w:shd w:val="clear" w:color="auto" w:fill="AD84C6" w:themeFill="accent1"/>
      </w:tcPr>
    </w:tblStylePr>
    <w:tblStylePr w:type="lastRow">
      <w:rPr>
        <w:b/>
        <w:bCs/>
      </w:rPr>
      <w:tblPr/>
      <w:tcPr>
        <w:tcBorders>
          <w:top w:val="double" w:color="AD84C6"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D84C6" w:themeColor="accent1" w:sz="4" w:space="0"/>
          <w:right w:val="single" w:color="AD84C6" w:themeColor="accent1" w:sz="4" w:space="0"/>
        </w:tcBorders>
      </w:tcPr>
    </w:tblStylePr>
    <w:tblStylePr w:type="band1Horz">
      <w:tblPr/>
      <w:tcPr>
        <w:tcBorders>
          <w:top w:val="single" w:color="AD84C6" w:themeColor="accent1" w:sz="4" w:space="0"/>
          <w:bottom w:val="single" w:color="AD84C6"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D84C6" w:themeColor="accent1" w:sz="4" w:space="0"/>
          <w:left w:val="nil"/>
        </w:tcBorders>
      </w:tcPr>
    </w:tblStylePr>
    <w:tblStylePr w:type="swCell">
      <w:tblPr/>
      <w:tcPr>
        <w:tcBorders>
          <w:top w:val="double" w:color="AD84C6" w:themeColor="accent1" w:sz="4" w:space="0"/>
          <w:right w:val="nil"/>
        </w:tcBorders>
      </w:tcPr>
    </w:tblStylePr>
  </w:style>
  <w:style w:type="table" w:styleId="ListTable4-Accent1">
    <w:name w:val="List Table 4 Accent 1"/>
    <w:basedOn w:val="TableNormal"/>
    <w:uiPriority w:val="49"/>
    <w:rsid w:val="00F84B89"/>
    <w:tblPr>
      <w:tblStyleRowBandSize w:val="1"/>
      <w:tblStyleColBandSize w:val="1"/>
      <w:tblBorders>
        <w:top w:val="single" w:color="CDB5DC" w:themeColor="accent1" w:themeTint="99" w:sz="4" w:space="0"/>
        <w:left w:val="single" w:color="CDB5DC" w:themeColor="accent1" w:themeTint="99" w:sz="4" w:space="0"/>
        <w:bottom w:val="single" w:color="CDB5DC" w:themeColor="accent1" w:themeTint="99" w:sz="4" w:space="0"/>
        <w:right w:val="single" w:color="CDB5DC" w:themeColor="accent1" w:themeTint="99" w:sz="4" w:space="0"/>
        <w:insideH w:val="single" w:color="CDB5DC" w:themeColor="accent1" w:themeTint="99" w:sz="4" w:space="0"/>
      </w:tblBorders>
    </w:tblPr>
    <w:tblStylePr w:type="firstRow">
      <w:rPr>
        <w:b/>
        <w:bCs/>
        <w:color w:val="FFFFFF" w:themeColor="background1"/>
      </w:rPr>
      <w:tblPr/>
      <w:tcPr>
        <w:tcBorders>
          <w:top w:val="single" w:color="AD84C6" w:themeColor="accent1" w:sz="4" w:space="0"/>
          <w:left w:val="single" w:color="AD84C6" w:themeColor="accent1" w:sz="4" w:space="0"/>
          <w:bottom w:val="single" w:color="AD84C6" w:themeColor="accent1" w:sz="4" w:space="0"/>
          <w:right w:val="single" w:color="AD84C6" w:themeColor="accent1" w:sz="4" w:space="0"/>
          <w:insideH w:val="nil"/>
        </w:tcBorders>
        <w:shd w:val="clear" w:color="auto" w:fill="AD84C6" w:themeFill="accent1"/>
      </w:tcPr>
    </w:tblStylePr>
    <w:tblStylePr w:type="lastRow">
      <w:rPr>
        <w:b/>
        <w:bCs/>
      </w:rPr>
      <w:tblPr/>
      <w:tcPr>
        <w:tcBorders>
          <w:top w:val="double" w:color="CDB5DC" w:themeColor="accent1" w:themeTint="99" w:sz="4" w:space="0"/>
        </w:tcBorders>
      </w:tcPr>
    </w:tblStylePr>
    <w:tblStylePr w:type="firstCol">
      <w:rPr>
        <w:b/>
        <w:bCs/>
      </w:rPr>
    </w:tblStylePr>
    <w:tblStylePr w:type="lastCol">
      <w:rPr>
        <w:b/>
        <w:bCs/>
      </w:rPr>
    </w:tblStylePr>
    <w:tblStylePr w:type="band1Vert">
      <w:tblPr/>
      <w:tcPr>
        <w:shd w:val="clear" w:color="auto" w:fill="EEE6F3" w:themeFill="accent1" w:themeFillTint="33"/>
      </w:tcPr>
    </w:tblStylePr>
    <w:tblStylePr w:type="band1Horz">
      <w:tblPr/>
      <w:tcPr>
        <w:shd w:val="clear" w:color="auto" w:fill="EEE6F3" w:themeFill="accent1" w:themeFillTint="33"/>
      </w:tcPr>
    </w:tblStylePr>
  </w:style>
  <w:style w:type="paragraph" w:styleId="ListParagraph">
    <w:name w:val="List Paragraph"/>
    <w:basedOn w:val="Normal"/>
    <w:uiPriority w:val="34"/>
    <w:qFormat/>
    <w:rsid w:val="00AF7899"/>
    <w:pPr>
      <w:ind w:left="720"/>
      <w:contextualSpacing/>
    </w:pPr>
  </w:style>
  <w:style w:type="table" w:styleId="ListTable3-Accent4">
    <w:name w:val="List Table 3 Accent 4"/>
    <w:basedOn w:val="TableNormal"/>
    <w:uiPriority w:val="48"/>
    <w:rsid w:val="00C74163"/>
    <w:tblPr>
      <w:tblStyleRowBandSize w:val="1"/>
      <w:tblStyleColBandSize w:val="1"/>
      <w:tblBorders>
        <w:top w:val="single" w:color="6997AF" w:themeColor="accent4" w:sz="4" w:space="0"/>
        <w:left w:val="single" w:color="6997AF" w:themeColor="accent4" w:sz="4" w:space="0"/>
        <w:bottom w:val="single" w:color="6997AF" w:themeColor="accent4" w:sz="4" w:space="0"/>
        <w:right w:val="single" w:color="6997AF" w:themeColor="accent4" w:sz="4" w:space="0"/>
      </w:tblBorders>
    </w:tblPr>
    <w:tblStylePr w:type="firstRow">
      <w:rPr>
        <w:b/>
        <w:bCs/>
        <w:color w:val="FFFFFF" w:themeColor="background1"/>
      </w:rPr>
      <w:tblPr/>
      <w:tcPr>
        <w:shd w:val="clear" w:color="auto" w:fill="6997AF" w:themeFill="accent4"/>
      </w:tcPr>
    </w:tblStylePr>
    <w:tblStylePr w:type="lastRow">
      <w:rPr>
        <w:b/>
        <w:bCs/>
      </w:rPr>
      <w:tblPr/>
      <w:tcPr>
        <w:tcBorders>
          <w:top w:val="double" w:color="6997AF"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6997AF" w:themeColor="accent4" w:sz="4" w:space="0"/>
          <w:right w:val="single" w:color="6997AF" w:themeColor="accent4" w:sz="4" w:space="0"/>
        </w:tcBorders>
      </w:tcPr>
    </w:tblStylePr>
    <w:tblStylePr w:type="band1Horz">
      <w:tblPr/>
      <w:tcPr>
        <w:tcBorders>
          <w:top w:val="single" w:color="6997AF" w:themeColor="accent4" w:sz="4" w:space="0"/>
          <w:bottom w:val="single" w:color="6997AF"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6997AF" w:themeColor="accent4" w:sz="4" w:space="0"/>
          <w:left w:val="nil"/>
        </w:tcBorders>
      </w:tcPr>
    </w:tblStylePr>
    <w:tblStylePr w:type="swCell">
      <w:tblPr/>
      <w:tcPr>
        <w:tcBorders>
          <w:top w:val="double" w:color="6997AF" w:themeColor="accent4" w:sz="4" w:space="0"/>
          <w:right w:val="nil"/>
        </w:tcBorders>
      </w:tcPr>
    </w:tblStylePr>
  </w:style>
  <w:style w:type="table" w:styleId="ListTable4-Accent4">
    <w:name w:val="List Table 4 Accent 4"/>
    <w:basedOn w:val="TableNormal"/>
    <w:uiPriority w:val="49"/>
    <w:rsid w:val="00C74163"/>
    <w:tblPr>
      <w:tblStyleRowBandSize w:val="1"/>
      <w:tblStyleColBandSize w:val="1"/>
      <w:tblBorders>
        <w:top w:val="single" w:color="A5C0CF" w:themeColor="accent4" w:themeTint="99" w:sz="4" w:space="0"/>
        <w:left w:val="single" w:color="A5C0CF" w:themeColor="accent4" w:themeTint="99" w:sz="4" w:space="0"/>
        <w:bottom w:val="single" w:color="A5C0CF" w:themeColor="accent4" w:themeTint="99" w:sz="4" w:space="0"/>
        <w:right w:val="single" w:color="A5C0CF" w:themeColor="accent4" w:themeTint="99" w:sz="4" w:space="0"/>
        <w:insideH w:val="single" w:color="A5C0CF" w:themeColor="accent4" w:themeTint="99" w:sz="4" w:space="0"/>
      </w:tblBorders>
    </w:tblPr>
    <w:tblStylePr w:type="firstRow">
      <w:rPr>
        <w:b/>
        <w:bCs/>
        <w:color w:val="FFFFFF" w:themeColor="background1"/>
      </w:rPr>
      <w:tblPr/>
      <w:tcPr>
        <w:tcBorders>
          <w:top w:val="single" w:color="6997AF" w:themeColor="accent4" w:sz="4" w:space="0"/>
          <w:left w:val="single" w:color="6997AF" w:themeColor="accent4" w:sz="4" w:space="0"/>
          <w:bottom w:val="single" w:color="6997AF" w:themeColor="accent4" w:sz="4" w:space="0"/>
          <w:right w:val="single" w:color="6997AF" w:themeColor="accent4" w:sz="4" w:space="0"/>
          <w:insideH w:val="nil"/>
        </w:tcBorders>
        <w:shd w:val="clear" w:color="auto" w:fill="6997AF" w:themeFill="accent4"/>
      </w:tcPr>
    </w:tblStylePr>
    <w:tblStylePr w:type="lastRow">
      <w:rPr>
        <w:b/>
        <w:bCs/>
      </w:rPr>
      <w:tblPr/>
      <w:tcPr>
        <w:tcBorders>
          <w:top w:val="double" w:color="A5C0CF" w:themeColor="accent4" w:themeTint="99" w:sz="4" w:space="0"/>
        </w:tcBorders>
      </w:tcPr>
    </w:tblStylePr>
    <w:tblStylePr w:type="firstCol">
      <w:rPr>
        <w:b/>
        <w:bCs/>
      </w:rPr>
    </w:tblStylePr>
    <w:tblStylePr w:type="lastCol">
      <w:rPr>
        <w:b/>
        <w:bCs/>
      </w:rPr>
    </w:tblStylePr>
    <w:tblStylePr w:type="band1Vert">
      <w:tblPr/>
      <w:tcPr>
        <w:shd w:val="clear" w:color="auto" w:fill="E1EAEF" w:themeFill="accent4" w:themeFillTint="33"/>
      </w:tcPr>
    </w:tblStylePr>
    <w:tblStylePr w:type="band1Horz">
      <w:tblPr/>
      <w:tcPr>
        <w:shd w:val="clear" w:color="auto" w:fill="E1EAEF" w:themeFill="accent4" w:themeFillTint="33"/>
      </w:tcPr>
    </w:tblStylePr>
  </w:style>
  <w:style w:type="table" w:styleId="GridTable5Dark-Accent1">
    <w:name w:val="Grid Table 5 Dark Accent 1"/>
    <w:basedOn w:val="TableNormal"/>
    <w:uiPriority w:val="50"/>
    <w:rsid w:val="00024771"/>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EE6F3"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D84C6"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D84C6"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D84C6"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D84C6" w:themeFill="accent1"/>
      </w:tcPr>
    </w:tblStylePr>
    <w:tblStylePr w:type="band1Vert">
      <w:tblPr/>
      <w:tcPr>
        <w:shd w:val="clear" w:color="auto" w:fill="DECDE8" w:themeFill="accent1" w:themeFillTint="66"/>
      </w:tcPr>
    </w:tblStylePr>
    <w:tblStylePr w:type="band1Horz">
      <w:tblPr/>
      <w:tcPr>
        <w:shd w:val="clear" w:color="auto" w:fill="DECDE8" w:themeFill="accent1" w:themeFillTint="66"/>
      </w:tcPr>
    </w:tblStylePr>
  </w:style>
  <w:style w:type="table" w:styleId="GridTable5Dark-Accent4">
    <w:name w:val="Grid Table 5 Dark Accent 4"/>
    <w:basedOn w:val="TableNormal"/>
    <w:uiPriority w:val="50"/>
    <w:rsid w:val="005C2A29"/>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1EAEF"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6997AF"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6997AF"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6997AF"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6997AF" w:themeFill="accent4"/>
      </w:tcPr>
    </w:tblStylePr>
    <w:tblStylePr w:type="band1Vert">
      <w:tblPr/>
      <w:tcPr>
        <w:shd w:val="clear" w:color="auto" w:fill="C3D5DF" w:themeFill="accent4" w:themeFillTint="66"/>
      </w:tcPr>
    </w:tblStylePr>
    <w:tblStylePr w:type="band1Horz">
      <w:tblPr/>
      <w:tcPr>
        <w:shd w:val="clear" w:color="auto" w:fill="C3D5DF" w:themeFill="accent4" w:themeFillTint="66"/>
      </w:tcPr>
    </w:tblStylePr>
  </w:style>
  <w:style w:type="table" w:styleId="GridTable4-Accent1">
    <w:name w:val="Grid Table 4 Accent 1"/>
    <w:basedOn w:val="TableNormal"/>
    <w:uiPriority w:val="49"/>
    <w:rsid w:val="00F13C83"/>
    <w:tblPr>
      <w:tblStyleRowBandSize w:val="1"/>
      <w:tblStyleColBandSize w:val="1"/>
      <w:tblBorders>
        <w:top w:val="single" w:color="CDB5DC" w:themeColor="accent1" w:themeTint="99" w:sz="4" w:space="0"/>
        <w:left w:val="single" w:color="CDB5DC" w:themeColor="accent1" w:themeTint="99" w:sz="4" w:space="0"/>
        <w:bottom w:val="single" w:color="CDB5DC" w:themeColor="accent1" w:themeTint="99" w:sz="4" w:space="0"/>
        <w:right w:val="single" w:color="CDB5DC" w:themeColor="accent1" w:themeTint="99" w:sz="4" w:space="0"/>
        <w:insideH w:val="single" w:color="CDB5DC" w:themeColor="accent1" w:themeTint="99" w:sz="4" w:space="0"/>
        <w:insideV w:val="single" w:color="CDB5DC" w:themeColor="accent1" w:themeTint="99" w:sz="4" w:space="0"/>
      </w:tblBorders>
    </w:tblPr>
    <w:tblStylePr w:type="firstRow">
      <w:rPr>
        <w:b/>
        <w:bCs/>
        <w:color w:val="FFFFFF" w:themeColor="background1"/>
      </w:rPr>
      <w:tblPr/>
      <w:tcPr>
        <w:tcBorders>
          <w:top w:val="single" w:color="AD84C6" w:themeColor="accent1" w:sz="4" w:space="0"/>
          <w:left w:val="single" w:color="AD84C6" w:themeColor="accent1" w:sz="4" w:space="0"/>
          <w:bottom w:val="single" w:color="AD84C6" w:themeColor="accent1" w:sz="4" w:space="0"/>
          <w:right w:val="single" w:color="AD84C6" w:themeColor="accent1" w:sz="4" w:space="0"/>
          <w:insideH w:val="nil"/>
          <w:insideV w:val="nil"/>
        </w:tcBorders>
        <w:shd w:val="clear" w:color="auto" w:fill="AD84C6" w:themeFill="accent1"/>
      </w:tcPr>
    </w:tblStylePr>
    <w:tblStylePr w:type="lastRow">
      <w:rPr>
        <w:b/>
        <w:bCs/>
      </w:rPr>
      <w:tblPr/>
      <w:tcPr>
        <w:tcBorders>
          <w:top w:val="double" w:color="AD84C6" w:themeColor="accent1" w:sz="4" w:space="0"/>
        </w:tcBorders>
      </w:tcPr>
    </w:tblStylePr>
    <w:tblStylePr w:type="firstCol">
      <w:rPr>
        <w:b/>
        <w:bCs/>
      </w:rPr>
    </w:tblStylePr>
    <w:tblStylePr w:type="lastCol">
      <w:rPr>
        <w:b/>
        <w:bCs/>
      </w:rPr>
    </w:tblStylePr>
    <w:tblStylePr w:type="band1Vert">
      <w:tblPr/>
      <w:tcPr>
        <w:shd w:val="clear" w:color="auto" w:fill="EEE6F3" w:themeFill="accent1" w:themeFillTint="33"/>
      </w:tcPr>
    </w:tblStylePr>
    <w:tblStylePr w:type="band1Horz">
      <w:tblPr/>
      <w:tcPr>
        <w:shd w:val="clear" w:color="auto" w:fill="EEE6F3" w:themeFill="accent1" w:themeFillTint="33"/>
      </w:tcPr>
    </w:tblStylePr>
  </w:style>
  <w:style w:type="character" w:styleId="Hyperlink">
    <w:name w:val="Hyperlink"/>
    <w:basedOn w:val="DefaultParagraphFont"/>
    <w:uiPriority w:val="99"/>
    <w:unhideWhenUsed/>
    <w:rsid w:val="00F55C5E"/>
    <w:rPr>
      <w:color w:val="69A020" w:themeColor="hyperlink"/>
      <w:u w:val="single"/>
    </w:rPr>
  </w:style>
  <w:style w:type="character" w:styleId="UnresolvedMention1" w:customStyle="1">
    <w:name w:val="Unresolved Mention1"/>
    <w:basedOn w:val="DefaultParagraphFont"/>
    <w:uiPriority w:val="99"/>
    <w:semiHidden/>
    <w:unhideWhenUsed/>
    <w:rsid w:val="00F55C5E"/>
    <w:rPr>
      <w:color w:val="605E5C"/>
      <w:shd w:val="clear" w:color="auto" w:fill="E1DFDD"/>
    </w:rPr>
  </w:style>
  <w:style w:type="character" w:styleId="Heading1Char" w:customStyle="1">
    <w:name w:val="Heading 1 Char"/>
    <w:basedOn w:val="DefaultParagraphFont"/>
    <w:link w:val="Heading1"/>
    <w:uiPriority w:val="9"/>
    <w:rsid w:val="003D12BA"/>
    <w:rPr>
      <w:rFonts w:eastAsiaTheme="minorEastAsia"/>
      <w:b/>
      <w:bCs/>
      <w:caps/>
      <w:color w:val="FFFFFF" w:themeColor="background1"/>
      <w:spacing w:val="15"/>
      <w:sz w:val="32"/>
      <w:szCs w:val="22"/>
      <w:shd w:val="clear" w:color="auto" w:fill="AD84C6" w:themeFill="accent1"/>
      <w:lang w:eastAsia="en-GB"/>
    </w:rPr>
  </w:style>
  <w:style w:type="character" w:styleId="Heading2Char" w:customStyle="1">
    <w:name w:val="Heading 2 Char"/>
    <w:basedOn w:val="DefaultParagraphFont"/>
    <w:link w:val="Heading2"/>
    <w:uiPriority w:val="9"/>
    <w:rsid w:val="003D12BA"/>
    <w:rPr>
      <w:rFonts w:eastAsiaTheme="minorEastAsia"/>
      <w:caps/>
      <w:spacing w:val="15"/>
      <w:szCs w:val="22"/>
      <w:shd w:val="clear" w:color="auto" w:fill="EEE6F3" w:themeFill="accent1" w:themeFillTint="33"/>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627421">
      <w:bodyDiv w:val="1"/>
      <w:marLeft w:val="0"/>
      <w:marRight w:val="0"/>
      <w:marTop w:val="0"/>
      <w:marBottom w:val="0"/>
      <w:divBdr>
        <w:top w:val="none" w:sz="0" w:space="0" w:color="auto"/>
        <w:left w:val="none" w:sz="0" w:space="0" w:color="auto"/>
        <w:bottom w:val="none" w:sz="0" w:space="0" w:color="auto"/>
        <w:right w:val="none" w:sz="0" w:space="0" w:color="auto"/>
      </w:divBdr>
    </w:div>
    <w:div w:id="700208494">
      <w:bodyDiv w:val="1"/>
      <w:marLeft w:val="0"/>
      <w:marRight w:val="0"/>
      <w:marTop w:val="0"/>
      <w:marBottom w:val="0"/>
      <w:divBdr>
        <w:top w:val="none" w:sz="0" w:space="0" w:color="auto"/>
        <w:left w:val="none" w:sz="0" w:space="0" w:color="auto"/>
        <w:bottom w:val="none" w:sz="0" w:space="0" w:color="auto"/>
        <w:right w:val="none" w:sz="0" w:space="0" w:color="auto"/>
      </w:divBdr>
    </w:div>
    <w:div w:id="717898924">
      <w:bodyDiv w:val="1"/>
      <w:marLeft w:val="0"/>
      <w:marRight w:val="0"/>
      <w:marTop w:val="0"/>
      <w:marBottom w:val="0"/>
      <w:divBdr>
        <w:top w:val="none" w:sz="0" w:space="0" w:color="auto"/>
        <w:left w:val="none" w:sz="0" w:space="0" w:color="auto"/>
        <w:bottom w:val="none" w:sz="0" w:space="0" w:color="auto"/>
        <w:right w:val="none" w:sz="0" w:space="0" w:color="auto"/>
      </w:divBdr>
    </w:div>
    <w:div w:id="747731714">
      <w:bodyDiv w:val="1"/>
      <w:marLeft w:val="0"/>
      <w:marRight w:val="0"/>
      <w:marTop w:val="0"/>
      <w:marBottom w:val="0"/>
      <w:divBdr>
        <w:top w:val="none" w:sz="0" w:space="0" w:color="auto"/>
        <w:left w:val="none" w:sz="0" w:space="0" w:color="auto"/>
        <w:bottom w:val="none" w:sz="0" w:space="0" w:color="auto"/>
        <w:right w:val="none" w:sz="0" w:space="0" w:color="auto"/>
      </w:divBdr>
    </w:div>
    <w:div w:id="817309018">
      <w:bodyDiv w:val="1"/>
      <w:marLeft w:val="0"/>
      <w:marRight w:val="0"/>
      <w:marTop w:val="0"/>
      <w:marBottom w:val="0"/>
      <w:divBdr>
        <w:top w:val="none" w:sz="0" w:space="0" w:color="auto"/>
        <w:left w:val="none" w:sz="0" w:space="0" w:color="auto"/>
        <w:bottom w:val="none" w:sz="0" w:space="0" w:color="auto"/>
        <w:right w:val="none" w:sz="0" w:space="0" w:color="auto"/>
      </w:divBdr>
    </w:div>
    <w:div w:id="882524972">
      <w:bodyDiv w:val="1"/>
      <w:marLeft w:val="0"/>
      <w:marRight w:val="0"/>
      <w:marTop w:val="0"/>
      <w:marBottom w:val="0"/>
      <w:divBdr>
        <w:top w:val="none" w:sz="0" w:space="0" w:color="auto"/>
        <w:left w:val="none" w:sz="0" w:space="0" w:color="auto"/>
        <w:bottom w:val="none" w:sz="0" w:space="0" w:color="auto"/>
        <w:right w:val="none" w:sz="0" w:space="0" w:color="auto"/>
      </w:divBdr>
    </w:div>
    <w:div w:id="916522690">
      <w:bodyDiv w:val="1"/>
      <w:marLeft w:val="0"/>
      <w:marRight w:val="0"/>
      <w:marTop w:val="0"/>
      <w:marBottom w:val="0"/>
      <w:divBdr>
        <w:top w:val="none" w:sz="0" w:space="0" w:color="auto"/>
        <w:left w:val="none" w:sz="0" w:space="0" w:color="auto"/>
        <w:bottom w:val="none" w:sz="0" w:space="0" w:color="auto"/>
        <w:right w:val="none" w:sz="0" w:space="0" w:color="auto"/>
      </w:divBdr>
    </w:div>
    <w:div w:id="922107810">
      <w:bodyDiv w:val="1"/>
      <w:marLeft w:val="0"/>
      <w:marRight w:val="0"/>
      <w:marTop w:val="0"/>
      <w:marBottom w:val="0"/>
      <w:divBdr>
        <w:top w:val="none" w:sz="0" w:space="0" w:color="auto"/>
        <w:left w:val="none" w:sz="0" w:space="0" w:color="auto"/>
        <w:bottom w:val="none" w:sz="0" w:space="0" w:color="auto"/>
        <w:right w:val="none" w:sz="0" w:space="0" w:color="auto"/>
      </w:divBdr>
    </w:div>
    <w:div w:id="1008406389">
      <w:bodyDiv w:val="1"/>
      <w:marLeft w:val="0"/>
      <w:marRight w:val="0"/>
      <w:marTop w:val="0"/>
      <w:marBottom w:val="0"/>
      <w:divBdr>
        <w:top w:val="none" w:sz="0" w:space="0" w:color="auto"/>
        <w:left w:val="none" w:sz="0" w:space="0" w:color="auto"/>
        <w:bottom w:val="none" w:sz="0" w:space="0" w:color="auto"/>
        <w:right w:val="none" w:sz="0" w:space="0" w:color="auto"/>
      </w:divBdr>
    </w:div>
    <w:div w:id="1039936316">
      <w:bodyDiv w:val="1"/>
      <w:marLeft w:val="0"/>
      <w:marRight w:val="0"/>
      <w:marTop w:val="0"/>
      <w:marBottom w:val="0"/>
      <w:divBdr>
        <w:top w:val="none" w:sz="0" w:space="0" w:color="auto"/>
        <w:left w:val="none" w:sz="0" w:space="0" w:color="auto"/>
        <w:bottom w:val="none" w:sz="0" w:space="0" w:color="auto"/>
        <w:right w:val="none" w:sz="0" w:space="0" w:color="auto"/>
      </w:divBdr>
    </w:div>
    <w:div w:id="1179344560">
      <w:bodyDiv w:val="1"/>
      <w:marLeft w:val="0"/>
      <w:marRight w:val="0"/>
      <w:marTop w:val="0"/>
      <w:marBottom w:val="0"/>
      <w:divBdr>
        <w:top w:val="none" w:sz="0" w:space="0" w:color="auto"/>
        <w:left w:val="none" w:sz="0" w:space="0" w:color="auto"/>
        <w:bottom w:val="none" w:sz="0" w:space="0" w:color="auto"/>
        <w:right w:val="none" w:sz="0" w:space="0" w:color="auto"/>
      </w:divBdr>
    </w:div>
    <w:div w:id="1211528750">
      <w:bodyDiv w:val="1"/>
      <w:marLeft w:val="0"/>
      <w:marRight w:val="0"/>
      <w:marTop w:val="0"/>
      <w:marBottom w:val="0"/>
      <w:divBdr>
        <w:top w:val="none" w:sz="0" w:space="0" w:color="auto"/>
        <w:left w:val="none" w:sz="0" w:space="0" w:color="auto"/>
        <w:bottom w:val="none" w:sz="0" w:space="0" w:color="auto"/>
        <w:right w:val="none" w:sz="0" w:space="0" w:color="auto"/>
      </w:divBdr>
    </w:div>
    <w:div w:id="1500150512">
      <w:bodyDiv w:val="1"/>
      <w:marLeft w:val="0"/>
      <w:marRight w:val="0"/>
      <w:marTop w:val="0"/>
      <w:marBottom w:val="0"/>
      <w:divBdr>
        <w:top w:val="none" w:sz="0" w:space="0" w:color="auto"/>
        <w:left w:val="none" w:sz="0" w:space="0" w:color="auto"/>
        <w:bottom w:val="none" w:sz="0" w:space="0" w:color="auto"/>
        <w:right w:val="none" w:sz="0" w:space="0" w:color="auto"/>
      </w:divBdr>
    </w:div>
    <w:div w:id="1978682493">
      <w:bodyDiv w:val="1"/>
      <w:marLeft w:val="0"/>
      <w:marRight w:val="0"/>
      <w:marTop w:val="0"/>
      <w:marBottom w:val="0"/>
      <w:divBdr>
        <w:top w:val="none" w:sz="0" w:space="0" w:color="auto"/>
        <w:left w:val="none" w:sz="0" w:space="0" w:color="auto"/>
        <w:bottom w:val="none" w:sz="0" w:space="0" w:color="auto"/>
        <w:right w:val="none" w:sz="0" w:space="0" w:color="auto"/>
      </w:divBdr>
    </w:div>
    <w:div w:id="1997563894">
      <w:bodyDiv w:val="1"/>
      <w:marLeft w:val="0"/>
      <w:marRight w:val="0"/>
      <w:marTop w:val="0"/>
      <w:marBottom w:val="0"/>
      <w:divBdr>
        <w:top w:val="none" w:sz="0" w:space="0" w:color="auto"/>
        <w:left w:val="none" w:sz="0" w:space="0" w:color="auto"/>
        <w:bottom w:val="none" w:sz="0" w:space="0" w:color="auto"/>
        <w:right w:val="none" w:sz="0" w:space="0" w:color="auto"/>
      </w:divBdr>
    </w:div>
    <w:div w:id="2055301623">
      <w:bodyDiv w:val="1"/>
      <w:marLeft w:val="0"/>
      <w:marRight w:val="0"/>
      <w:marTop w:val="0"/>
      <w:marBottom w:val="0"/>
      <w:divBdr>
        <w:top w:val="none" w:sz="0" w:space="0" w:color="auto"/>
        <w:left w:val="none" w:sz="0" w:space="0" w:color="auto"/>
        <w:bottom w:val="none" w:sz="0" w:space="0" w:color="auto"/>
        <w:right w:val="none" w:sz="0" w:space="0" w:color="auto"/>
      </w:divBdr>
    </w:div>
    <w:div w:id="2068187294">
      <w:bodyDiv w:val="1"/>
      <w:marLeft w:val="0"/>
      <w:marRight w:val="0"/>
      <w:marTop w:val="0"/>
      <w:marBottom w:val="0"/>
      <w:divBdr>
        <w:top w:val="none" w:sz="0" w:space="0" w:color="auto"/>
        <w:left w:val="none" w:sz="0" w:space="0" w:color="auto"/>
        <w:bottom w:val="none" w:sz="0" w:space="0" w:color="auto"/>
        <w:right w:val="none" w:sz="0" w:space="0" w:color="auto"/>
      </w:divBdr>
    </w:div>
    <w:div w:id="2100060103">
      <w:bodyDiv w:val="1"/>
      <w:marLeft w:val="0"/>
      <w:marRight w:val="0"/>
      <w:marTop w:val="0"/>
      <w:marBottom w:val="0"/>
      <w:divBdr>
        <w:top w:val="none" w:sz="0" w:space="0" w:color="auto"/>
        <w:left w:val="none" w:sz="0" w:space="0" w:color="auto"/>
        <w:bottom w:val="none" w:sz="0" w:space="0" w:color="auto"/>
        <w:right w:val="none" w:sz="0" w:space="0" w:color="auto"/>
      </w:divBdr>
    </w:div>
    <w:div w:id="212815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wmf" Id="rId8" /><Relationship Type="http://schemas.openxmlformats.org/officeDocument/2006/relationships/image" Target="media/image4.wmf" Id="rId13" /><Relationship Type="http://schemas.openxmlformats.org/officeDocument/2006/relationships/footer" Target="footer1.xml" Id="rId18" /><Relationship Type="http://schemas.openxmlformats.org/officeDocument/2006/relationships/settings" Target="settings.xml" Id="rId3" /><Relationship Type="http://schemas.openxmlformats.org/officeDocument/2006/relationships/hyperlink" Target="https://www.npl.co.uk/si-units" TargetMode="External" Id="rId7" /><Relationship Type="http://schemas.openxmlformats.org/officeDocument/2006/relationships/oleObject" Target="embeddings/oleObject2.bin" Id="rId12" /><Relationship Type="http://schemas.openxmlformats.org/officeDocument/2006/relationships/header" Target="header1.xml" Id="rId17" /><Relationship Type="http://schemas.openxmlformats.org/officeDocument/2006/relationships/styles" Target="styles.xml" Id="rId2" /><Relationship Type="http://schemas.openxmlformats.org/officeDocument/2006/relationships/oleObject" Target="embeddings/oleObject4.bin" Id="rId16" /><Relationship Type="http://schemas.openxmlformats.org/officeDocument/2006/relationships/theme" Target="theme/theme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3.wmf" Id="rId11" /><Relationship Type="http://schemas.openxmlformats.org/officeDocument/2006/relationships/footnotes" Target="footnotes.xml" Id="rId5" /><Relationship Type="http://schemas.openxmlformats.org/officeDocument/2006/relationships/image" Target="media/image5.wmf" Id="rId15" /><Relationship Type="http://schemas.openxmlformats.org/officeDocument/2006/relationships/oleObject" Target="embeddings/oleObject1.bin" Id="rId10" /><Relationship Type="http://schemas.openxmlformats.org/officeDocument/2006/relationships/fontTable" Target="fontTable.xml" Id="rId19" /><Relationship Type="http://schemas.openxmlformats.org/officeDocument/2006/relationships/webSettings" Target="webSettings.xml" Id="rId4" /><Relationship Type="http://schemas.openxmlformats.org/officeDocument/2006/relationships/image" Target="media/image2.wmf" Id="rId9" /><Relationship Type="http://schemas.openxmlformats.org/officeDocument/2006/relationships/oleObject" Target="embeddings/oleObject3.bin" Id="rId14" /></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Mr Stewart</dc:creator>
  <keywords/>
  <dc:description/>
  <lastModifiedBy>Mrs Hargreaves</lastModifiedBy>
  <revision>41</revision>
  <dcterms:created xsi:type="dcterms:W3CDTF">2021-06-15T18:06:00.0000000Z</dcterms:created>
  <dcterms:modified xsi:type="dcterms:W3CDTF">2021-06-17T19:46:41.1003389Z</dcterms:modified>
</coreProperties>
</file>